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465B0" w14:textId="77777777" w:rsidR="00282016" w:rsidRDefault="00282016">
      <w:pPr>
        <w:spacing w:line="360" w:lineRule="auto"/>
        <w:jc w:val="center"/>
        <w:rPr>
          <w:rFonts w:eastAsia="黑体"/>
          <w:b/>
          <w:sz w:val="44"/>
          <w:szCs w:val="44"/>
        </w:rPr>
      </w:pPr>
    </w:p>
    <w:p w14:paraId="4F5DD473" w14:textId="77777777" w:rsidR="00282016" w:rsidRDefault="00282016">
      <w:pPr>
        <w:spacing w:line="360" w:lineRule="auto"/>
        <w:jc w:val="center"/>
        <w:rPr>
          <w:rFonts w:eastAsia="黑体"/>
          <w:b/>
          <w:sz w:val="44"/>
          <w:szCs w:val="44"/>
        </w:rPr>
      </w:pPr>
    </w:p>
    <w:p w14:paraId="5DAC0C81" w14:textId="77777777" w:rsidR="00282016" w:rsidRDefault="00282016">
      <w:pPr>
        <w:spacing w:line="360" w:lineRule="auto"/>
        <w:jc w:val="center"/>
        <w:rPr>
          <w:rFonts w:eastAsia="黑体"/>
          <w:b/>
          <w:sz w:val="44"/>
          <w:szCs w:val="44"/>
        </w:rPr>
      </w:pPr>
    </w:p>
    <w:p w14:paraId="2C688AB4" w14:textId="77777777" w:rsidR="00282016" w:rsidRDefault="00282016">
      <w:pPr>
        <w:spacing w:line="360" w:lineRule="auto"/>
        <w:jc w:val="center"/>
        <w:rPr>
          <w:rFonts w:eastAsia="黑体"/>
          <w:b/>
          <w:sz w:val="44"/>
          <w:szCs w:val="44"/>
        </w:rPr>
      </w:pPr>
    </w:p>
    <w:p w14:paraId="419DED10" w14:textId="6D7F149D" w:rsidR="00282016" w:rsidRPr="001F6858" w:rsidRDefault="00000000">
      <w:pPr>
        <w:spacing w:line="360" w:lineRule="auto"/>
        <w:jc w:val="center"/>
        <w:rPr>
          <w:b/>
          <w:color w:val="000000"/>
          <w:kern w:val="0"/>
          <w:sz w:val="48"/>
          <w:szCs w:val="48"/>
        </w:rPr>
      </w:pPr>
      <w:bookmarkStart w:id="0" w:name="_Hlk102581335"/>
      <w:r w:rsidRPr="001F6858">
        <w:rPr>
          <w:rFonts w:eastAsia="黑体"/>
          <w:b/>
          <w:sz w:val="48"/>
          <w:szCs w:val="48"/>
        </w:rPr>
        <w:t>《</w:t>
      </w:r>
      <w:r w:rsidR="00EF0809" w:rsidRPr="00EF0809">
        <w:rPr>
          <w:rFonts w:hint="eastAsia"/>
          <w:b/>
          <w:color w:val="000000"/>
          <w:kern w:val="0"/>
          <w:sz w:val="48"/>
          <w:szCs w:val="48"/>
        </w:rPr>
        <w:t>非变性</w:t>
      </w:r>
      <w:r w:rsidR="00EF0809" w:rsidRPr="00EF0809">
        <w:rPr>
          <w:rFonts w:hint="eastAsia"/>
          <w:b/>
          <w:color w:val="000000"/>
          <w:kern w:val="0"/>
          <w:sz w:val="48"/>
          <w:szCs w:val="48"/>
        </w:rPr>
        <w:t>II</w:t>
      </w:r>
      <w:r w:rsidR="00EF0809" w:rsidRPr="00EF0809">
        <w:rPr>
          <w:rFonts w:hint="eastAsia"/>
          <w:b/>
          <w:color w:val="000000"/>
          <w:kern w:val="0"/>
          <w:sz w:val="48"/>
          <w:szCs w:val="48"/>
        </w:rPr>
        <w:t>型胶原蛋白</w:t>
      </w:r>
      <w:r w:rsidRPr="001F6858">
        <w:rPr>
          <w:b/>
          <w:color w:val="000000"/>
          <w:kern w:val="0"/>
          <w:sz w:val="48"/>
          <w:szCs w:val="48"/>
        </w:rPr>
        <w:t>》</w:t>
      </w:r>
      <w:r w:rsidR="00EF0809">
        <w:rPr>
          <w:rFonts w:hint="eastAsia"/>
          <w:b/>
          <w:color w:val="000000"/>
          <w:kern w:val="0"/>
          <w:sz w:val="48"/>
          <w:szCs w:val="48"/>
        </w:rPr>
        <w:t>行业</w:t>
      </w:r>
      <w:r w:rsidR="00BA285A" w:rsidRPr="001F6858">
        <w:rPr>
          <w:b/>
          <w:color w:val="000000"/>
          <w:kern w:val="0"/>
          <w:sz w:val="48"/>
          <w:szCs w:val="48"/>
        </w:rPr>
        <w:t>标准</w:t>
      </w:r>
    </w:p>
    <w:p w14:paraId="22F0911E" w14:textId="77777777" w:rsidR="00282016" w:rsidRDefault="00282016">
      <w:pPr>
        <w:spacing w:line="360" w:lineRule="auto"/>
        <w:jc w:val="center"/>
        <w:rPr>
          <w:b/>
          <w:color w:val="000000"/>
          <w:kern w:val="0"/>
          <w:sz w:val="52"/>
          <w:szCs w:val="52"/>
        </w:rPr>
      </w:pPr>
    </w:p>
    <w:p w14:paraId="01FBF7A8" w14:textId="77777777" w:rsidR="00282016" w:rsidRPr="001F6858" w:rsidRDefault="00000000">
      <w:pPr>
        <w:spacing w:line="360" w:lineRule="auto"/>
        <w:jc w:val="center"/>
        <w:rPr>
          <w:color w:val="000000"/>
          <w:sz w:val="48"/>
          <w:szCs w:val="48"/>
        </w:rPr>
      </w:pPr>
      <w:r w:rsidRPr="001F6858">
        <w:rPr>
          <w:color w:val="000000"/>
          <w:sz w:val="48"/>
          <w:szCs w:val="48"/>
        </w:rPr>
        <w:t>编制说明</w:t>
      </w:r>
    </w:p>
    <w:bookmarkEnd w:id="0"/>
    <w:p w14:paraId="3A588DA5" w14:textId="77777777" w:rsidR="00282016" w:rsidRDefault="00282016">
      <w:pPr>
        <w:spacing w:line="360" w:lineRule="auto"/>
        <w:rPr>
          <w:sz w:val="24"/>
        </w:rPr>
      </w:pPr>
    </w:p>
    <w:p w14:paraId="723ED3D3" w14:textId="77777777" w:rsidR="00282016" w:rsidRDefault="00282016">
      <w:pPr>
        <w:spacing w:line="360" w:lineRule="auto"/>
        <w:rPr>
          <w:sz w:val="24"/>
        </w:rPr>
      </w:pPr>
    </w:p>
    <w:p w14:paraId="6F51312C" w14:textId="77777777" w:rsidR="00282016" w:rsidRDefault="00282016">
      <w:pPr>
        <w:spacing w:line="360" w:lineRule="auto"/>
        <w:rPr>
          <w:sz w:val="24"/>
        </w:rPr>
      </w:pPr>
    </w:p>
    <w:p w14:paraId="18D85801" w14:textId="77777777" w:rsidR="00282016" w:rsidRDefault="00282016">
      <w:pPr>
        <w:spacing w:line="360" w:lineRule="auto"/>
        <w:rPr>
          <w:sz w:val="24"/>
        </w:rPr>
      </w:pPr>
    </w:p>
    <w:p w14:paraId="3EB4CAF2" w14:textId="77777777" w:rsidR="00282016" w:rsidRDefault="00282016">
      <w:pPr>
        <w:spacing w:line="360" w:lineRule="auto"/>
        <w:rPr>
          <w:sz w:val="24"/>
        </w:rPr>
      </w:pPr>
    </w:p>
    <w:p w14:paraId="38DA82AD" w14:textId="77777777" w:rsidR="00282016" w:rsidRDefault="00282016">
      <w:pPr>
        <w:spacing w:line="360" w:lineRule="auto"/>
        <w:rPr>
          <w:sz w:val="24"/>
        </w:rPr>
      </w:pPr>
    </w:p>
    <w:p w14:paraId="31D3FBBE" w14:textId="77777777" w:rsidR="00282016" w:rsidRDefault="00282016">
      <w:pPr>
        <w:spacing w:line="360" w:lineRule="auto"/>
        <w:rPr>
          <w:sz w:val="24"/>
        </w:rPr>
      </w:pPr>
    </w:p>
    <w:p w14:paraId="2C6D7A25" w14:textId="77777777" w:rsidR="00282016" w:rsidRDefault="00282016">
      <w:pPr>
        <w:spacing w:line="360" w:lineRule="auto"/>
        <w:rPr>
          <w:sz w:val="24"/>
        </w:rPr>
      </w:pPr>
    </w:p>
    <w:p w14:paraId="7EF3BA46" w14:textId="77777777" w:rsidR="00282016" w:rsidRDefault="00282016">
      <w:pPr>
        <w:spacing w:line="360" w:lineRule="auto"/>
        <w:rPr>
          <w:sz w:val="24"/>
        </w:rPr>
      </w:pPr>
    </w:p>
    <w:p w14:paraId="673E11A7" w14:textId="77777777" w:rsidR="00282016" w:rsidRDefault="00282016">
      <w:pPr>
        <w:spacing w:line="360" w:lineRule="auto"/>
        <w:rPr>
          <w:sz w:val="24"/>
        </w:rPr>
      </w:pPr>
    </w:p>
    <w:p w14:paraId="5338282E" w14:textId="77777777" w:rsidR="00282016" w:rsidRDefault="00282016">
      <w:pPr>
        <w:spacing w:line="360" w:lineRule="auto"/>
        <w:rPr>
          <w:sz w:val="24"/>
        </w:rPr>
      </w:pPr>
    </w:p>
    <w:p w14:paraId="61386861" w14:textId="77777777" w:rsidR="009B1BF0" w:rsidRDefault="009B1BF0" w:rsidP="009B1BF0">
      <w:pPr>
        <w:pStyle w:val="ab"/>
      </w:pPr>
    </w:p>
    <w:p w14:paraId="183C1F21" w14:textId="77777777" w:rsidR="009B1BF0" w:rsidRDefault="009B1BF0" w:rsidP="009B1BF0">
      <w:pPr>
        <w:pStyle w:val="ab"/>
      </w:pPr>
    </w:p>
    <w:p w14:paraId="1A3F6D5A" w14:textId="77777777" w:rsidR="009B1BF0" w:rsidRPr="009B1BF0" w:rsidRDefault="009B1BF0" w:rsidP="009B1BF0">
      <w:pPr>
        <w:pStyle w:val="ab"/>
      </w:pPr>
    </w:p>
    <w:p w14:paraId="2C6A57DC" w14:textId="1225F134" w:rsidR="00282016" w:rsidRDefault="005540D8">
      <w:pPr>
        <w:pStyle w:val="af4"/>
        <w:spacing w:line="360" w:lineRule="auto"/>
        <w:ind w:leftChars="0" w:left="0"/>
        <w:jc w:val="center"/>
        <w:rPr>
          <w:color w:val="000000"/>
          <w:sz w:val="36"/>
          <w:szCs w:val="36"/>
        </w:rPr>
      </w:pPr>
      <w:r>
        <w:rPr>
          <w:rFonts w:hint="eastAsia"/>
          <w:color w:val="000000"/>
          <w:sz w:val="36"/>
          <w:szCs w:val="36"/>
        </w:rPr>
        <w:t>标准起草工作组</w:t>
      </w:r>
    </w:p>
    <w:p w14:paraId="06B96306" w14:textId="77777777" w:rsidR="00282016" w:rsidRDefault="00282016">
      <w:pPr>
        <w:spacing w:line="360" w:lineRule="auto"/>
        <w:rPr>
          <w:sz w:val="24"/>
        </w:rPr>
      </w:pPr>
    </w:p>
    <w:p w14:paraId="11189754" w14:textId="77777777" w:rsidR="00282016" w:rsidRDefault="00282016">
      <w:pPr>
        <w:spacing w:line="360" w:lineRule="auto"/>
        <w:rPr>
          <w:sz w:val="24"/>
        </w:rPr>
      </w:pPr>
    </w:p>
    <w:p w14:paraId="77722331" w14:textId="77777777" w:rsidR="00282016" w:rsidRDefault="00000000">
      <w:pPr>
        <w:tabs>
          <w:tab w:val="left" w:pos="840"/>
        </w:tabs>
        <w:spacing w:line="360" w:lineRule="auto"/>
        <w:rPr>
          <w:sz w:val="24"/>
        </w:rPr>
        <w:sectPr w:rsidR="00282016">
          <w:pgSz w:w="11906" w:h="16838"/>
          <w:pgMar w:top="1440" w:right="1797" w:bottom="1440" w:left="1797" w:header="851" w:footer="992" w:gutter="0"/>
          <w:pgNumType w:fmt="upperRoman" w:start="1"/>
          <w:cols w:space="425"/>
          <w:docGrid w:type="linesAndChars" w:linePitch="312"/>
        </w:sectPr>
      </w:pPr>
      <w:r>
        <w:rPr>
          <w:sz w:val="24"/>
        </w:rPr>
        <w:tab/>
      </w:r>
    </w:p>
    <w:bookmarkStart w:id="1" w:name="_Toc102581186" w:displacedByCustomXml="next"/>
    <w:sdt>
      <w:sdtPr>
        <w:rPr>
          <w:rFonts w:ascii="Times New Roman" w:eastAsia="宋体" w:hAnsi="Times New Roman" w:cs="Times New Roman"/>
          <w:color w:val="auto"/>
          <w:kern w:val="2"/>
          <w:sz w:val="21"/>
          <w:szCs w:val="24"/>
          <w:lang w:val="zh-CN"/>
        </w:rPr>
        <w:id w:val="510259994"/>
        <w:docPartObj>
          <w:docPartGallery w:val="Table of Contents"/>
          <w:docPartUnique/>
        </w:docPartObj>
      </w:sdtPr>
      <w:sdtEndPr>
        <w:rPr>
          <w:bCs/>
          <w:sz w:val="24"/>
        </w:rPr>
      </w:sdtEndPr>
      <w:sdtContent>
        <w:p w14:paraId="70BCF90C" w14:textId="77777777" w:rsidR="00282016" w:rsidRDefault="00000000">
          <w:pPr>
            <w:pStyle w:val="TOC10"/>
            <w:spacing w:beforeLines="0" w:before="0" w:afterLines="0" w:line="360" w:lineRule="auto"/>
            <w:jc w:val="center"/>
            <w:rPr>
              <w:rFonts w:ascii="Times New Roman" w:hAnsi="Times New Roman" w:cs="Times New Roman"/>
              <w:b/>
              <w:bCs/>
              <w:color w:val="000000" w:themeColor="text1"/>
              <w:sz w:val="36"/>
              <w:szCs w:val="36"/>
            </w:rPr>
          </w:pPr>
          <w:r>
            <w:rPr>
              <w:rFonts w:ascii="Times New Roman" w:hAnsi="Times New Roman" w:cs="Times New Roman"/>
              <w:b/>
              <w:bCs/>
              <w:color w:val="000000" w:themeColor="text1"/>
              <w:sz w:val="36"/>
              <w:szCs w:val="36"/>
              <w:lang w:val="zh-CN"/>
            </w:rPr>
            <w:t>目</w:t>
          </w:r>
          <w:r>
            <w:rPr>
              <w:rFonts w:ascii="Times New Roman" w:hAnsi="Times New Roman" w:cs="Times New Roman"/>
              <w:b/>
              <w:bCs/>
              <w:color w:val="000000" w:themeColor="text1"/>
              <w:sz w:val="36"/>
              <w:szCs w:val="36"/>
              <w:lang w:val="zh-CN"/>
            </w:rPr>
            <w:t xml:space="preserve">   </w:t>
          </w:r>
          <w:r>
            <w:rPr>
              <w:rFonts w:ascii="Times New Roman" w:hAnsi="Times New Roman" w:cs="Times New Roman"/>
              <w:b/>
              <w:bCs/>
              <w:color w:val="000000" w:themeColor="text1"/>
              <w:sz w:val="36"/>
              <w:szCs w:val="36"/>
              <w:lang w:val="zh-CN"/>
            </w:rPr>
            <w:t>录</w:t>
          </w:r>
        </w:p>
        <w:p w14:paraId="2E5245B8" w14:textId="7963BAA6"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r>
            <w:rPr>
              <w:sz w:val="24"/>
            </w:rPr>
            <w:fldChar w:fldCharType="begin"/>
          </w:r>
          <w:r>
            <w:rPr>
              <w:sz w:val="24"/>
            </w:rPr>
            <w:instrText xml:space="preserve"> TOC \o "1-3" \h \z \u </w:instrText>
          </w:r>
          <w:r>
            <w:rPr>
              <w:sz w:val="24"/>
            </w:rPr>
            <w:fldChar w:fldCharType="separate"/>
          </w:r>
          <w:hyperlink w:anchor="_Toc176255764" w:history="1">
            <w:r w:rsidR="00C47ED9" w:rsidRPr="004B021C">
              <w:rPr>
                <w:rStyle w:val="aff5"/>
                <w:rFonts w:hint="eastAsia"/>
                <w:noProof/>
              </w:rPr>
              <w:t>一、</w:t>
            </w:r>
            <w:r w:rsidR="00C47ED9" w:rsidRPr="004B021C">
              <w:rPr>
                <w:rStyle w:val="aff5"/>
                <w:rFonts w:hint="eastAsia"/>
                <w:noProof/>
              </w:rPr>
              <w:t xml:space="preserve"> </w:t>
            </w:r>
            <w:r w:rsidR="00C47ED9" w:rsidRPr="004B021C">
              <w:rPr>
                <w:rStyle w:val="aff5"/>
                <w:rFonts w:hint="eastAsia"/>
                <w:noProof/>
              </w:rPr>
              <w:t>工作简况</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_Toc176255764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2</w:t>
            </w:r>
            <w:r w:rsidR="00C47ED9">
              <w:rPr>
                <w:rFonts w:hint="eastAsia"/>
                <w:noProof/>
                <w:webHidden/>
              </w:rPr>
              <w:fldChar w:fldCharType="end"/>
            </w:r>
          </w:hyperlink>
        </w:p>
        <w:p w14:paraId="25497BBD" w14:textId="19B7B2F7" w:rsidR="00C47ED9" w:rsidRDefault="00000000">
          <w:pPr>
            <w:pStyle w:val="TOC2"/>
            <w:tabs>
              <w:tab w:val="right" w:leader="dot" w:pos="8302"/>
            </w:tabs>
            <w:rPr>
              <w:rFonts w:asciiTheme="minorHAnsi" w:eastAsiaTheme="minorEastAsia" w:hAnsiTheme="minorHAnsi" w:cstheme="minorBidi"/>
              <w:noProof/>
              <w:szCs w:val="22"/>
              <w14:ligatures w14:val="standardContextual"/>
            </w:rPr>
          </w:pPr>
          <w:hyperlink w:anchor="_Toc176255765" w:history="1">
            <w:r w:rsidR="00C47ED9" w:rsidRPr="004B021C">
              <w:rPr>
                <w:rStyle w:val="aff5"/>
                <w:rFonts w:hint="eastAsia"/>
                <w:noProof/>
              </w:rPr>
              <w:t xml:space="preserve">1. </w:t>
            </w:r>
            <w:r w:rsidR="00C47ED9" w:rsidRPr="004B021C">
              <w:rPr>
                <w:rStyle w:val="aff5"/>
                <w:rFonts w:hint="eastAsia"/>
                <w:noProof/>
              </w:rPr>
              <w:t>任务来源</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_Toc176255765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2</w:t>
            </w:r>
            <w:r w:rsidR="00C47ED9">
              <w:rPr>
                <w:rFonts w:hint="eastAsia"/>
                <w:noProof/>
                <w:webHidden/>
              </w:rPr>
              <w:fldChar w:fldCharType="end"/>
            </w:r>
          </w:hyperlink>
        </w:p>
        <w:p w14:paraId="0F1CB79D" w14:textId="0E266CAB" w:rsidR="00C47ED9" w:rsidRDefault="00000000">
          <w:pPr>
            <w:pStyle w:val="TOC2"/>
            <w:tabs>
              <w:tab w:val="right" w:leader="dot" w:pos="8302"/>
            </w:tabs>
            <w:rPr>
              <w:rFonts w:asciiTheme="minorHAnsi" w:eastAsiaTheme="minorEastAsia" w:hAnsiTheme="minorHAnsi" w:cstheme="minorBidi"/>
              <w:noProof/>
              <w:szCs w:val="22"/>
              <w14:ligatures w14:val="standardContextual"/>
            </w:rPr>
          </w:pPr>
          <w:hyperlink w:anchor="_Toc176255766" w:history="1">
            <w:r w:rsidR="00C47ED9" w:rsidRPr="004B021C">
              <w:rPr>
                <w:rStyle w:val="aff5"/>
                <w:rFonts w:hint="eastAsia"/>
                <w:noProof/>
              </w:rPr>
              <w:t xml:space="preserve">2. </w:t>
            </w:r>
            <w:r w:rsidR="00C47ED9" w:rsidRPr="004B021C">
              <w:rPr>
                <w:rStyle w:val="aff5"/>
                <w:rFonts w:hint="eastAsia"/>
                <w:noProof/>
              </w:rPr>
              <w:t>制定背景</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_Toc176255766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3</w:t>
            </w:r>
            <w:r w:rsidR="00C47ED9">
              <w:rPr>
                <w:rFonts w:hint="eastAsia"/>
                <w:noProof/>
                <w:webHidden/>
              </w:rPr>
              <w:fldChar w:fldCharType="end"/>
            </w:r>
          </w:hyperlink>
        </w:p>
        <w:p w14:paraId="5BBCAD1E" w14:textId="5EA078F8"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67" w:history="1">
            <w:r w:rsidR="00C47ED9" w:rsidRPr="004B021C">
              <w:rPr>
                <w:rStyle w:val="aff5"/>
                <w:rFonts w:hint="eastAsia"/>
                <w:noProof/>
              </w:rPr>
              <w:t xml:space="preserve">2.1 </w:t>
            </w:r>
            <w:r w:rsidR="00C47ED9" w:rsidRPr="004B021C">
              <w:rPr>
                <w:rStyle w:val="aff5"/>
                <w:rFonts w:hint="eastAsia"/>
                <w:noProof/>
              </w:rPr>
              <w:t>产业现状</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_Toc176255767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3</w:t>
            </w:r>
            <w:r w:rsidR="00C47ED9">
              <w:rPr>
                <w:rFonts w:hint="eastAsia"/>
                <w:noProof/>
                <w:webHidden/>
              </w:rPr>
              <w:fldChar w:fldCharType="end"/>
            </w:r>
          </w:hyperlink>
        </w:p>
        <w:p w14:paraId="704A42BE" w14:textId="67719035"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68" w:history="1">
            <w:r w:rsidR="00C47ED9" w:rsidRPr="004B021C">
              <w:rPr>
                <w:rStyle w:val="aff5"/>
                <w:rFonts w:hint="eastAsia"/>
                <w:noProof/>
              </w:rPr>
              <w:t xml:space="preserve">2.2 </w:t>
            </w:r>
            <w:r w:rsidR="00C47ED9" w:rsidRPr="004B021C">
              <w:rPr>
                <w:rStyle w:val="aff5"/>
                <w:rFonts w:hint="eastAsia"/>
                <w:noProof/>
              </w:rPr>
              <w:t>研究与应用现状</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_Toc176255768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4</w:t>
            </w:r>
            <w:r w:rsidR="00C47ED9">
              <w:rPr>
                <w:rFonts w:hint="eastAsia"/>
                <w:noProof/>
                <w:webHidden/>
              </w:rPr>
              <w:fldChar w:fldCharType="end"/>
            </w:r>
          </w:hyperlink>
        </w:p>
        <w:p w14:paraId="6BEF73F9" w14:textId="57A08609"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69" w:history="1">
            <w:r w:rsidR="00C47ED9" w:rsidRPr="004B021C">
              <w:rPr>
                <w:rStyle w:val="aff5"/>
                <w:rFonts w:hint="eastAsia"/>
                <w:noProof/>
              </w:rPr>
              <w:t xml:space="preserve">2.3 </w:t>
            </w:r>
            <w:r w:rsidR="00C47ED9" w:rsidRPr="004B021C">
              <w:rPr>
                <w:rStyle w:val="aff5"/>
                <w:rFonts w:hint="eastAsia"/>
                <w:noProof/>
              </w:rPr>
              <w:t>标准现状</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_Toc176255769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4</w:t>
            </w:r>
            <w:r w:rsidR="00C47ED9">
              <w:rPr>
                <w:rFonts w:hint="eastAsia"/>
                <w:noProof/>
                <w:webHidden/>
              </w:rPr>
              <w:fldChar w:fldCharType="end"/>
            </w:r>
          </w:hyperlink>
        </w:p>
        <w:p w14:paraId="5C410886" w14:textId="547EFB5F"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70" w:history="1">
            <w:r w:rsidR="00C47ED9" w:rsidRPr="004B021C">
              <w:rPr>
                <w:rStyle w:val="aff5"/>
                <w:rFonts w:hint="eastAsia"/>
                <w:noProof/>
              </w:rPr>
              <w:t xml:space="preserve">2.4 </w:t>
            </w:r>
            <w:r w:rsidR="00C47ED9" w:rsidRPr="004B021C">
              <w:rPr>
                <w:rStyle w:val="aff5"/>
                <w:rFonts w:hint="eastAsia"/>
                <w:noProof/>
              </w:rPr>
              <w:t>标准制定的目的意义</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_Toc176255770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4</w:t>
            </w:r>
            <w:r w:rsidR="00C47ED9">
              <w:rPr>
                <w:rFonts w:hint="eastAsia"/>
                <w:noProof/>
                <w:webHidden/>
              </w:rPr>
              <w:fldChar w:fldCharType="end"/>
            </w:r>
          </w:hyperlink>
        </w:p>
        <w:p w14:paraId="45F0DA44" w14:textId="2EDE2F11" w:rsidR="00C47ED9" w:rsidRDefault="00000000">
          <w:pPr>
            <w:pStyle w:val="TOC2"/>
            <w:tabs>
              <w:tab w:val="right" w:leader="dot" w:pos="8302"/>
            </w:tabs>
            <w:rPr>
              <w:rFonts w:asciiTheme="minorHAnsi" w:eastAsiaTheme="minorEastAsia" w:hAnsiTheme="minorHAnsi" w:cstheme="minorBidi"/>
              <w:noProof/>
              <w:szCs w:val="22"/>
              <w14:ligatures w14:val="standardContextual"/>
            </w:rPr>
          </w:pPr>
          <w:hyperlink w:anchor="_Toc176255771" w:history="1">
            <w:r w:rsidR="00C47ED9" w:rsidRPr="004B021C">
              <w:rPr>
                <w:rStyle w:val="aff5"/>
                <w:rFonts w:hint="eastAsia"/>
                <w:noProof/>
              </w:rPr>
              <w:t xml:space="preserve">3. </w:t>
            </w:r>
            <w:r w:rsidR="00C47ED9" w:rsidRPr="004B021C">
              <w:rPr>
                <w:rStyle w:val="aff5"/>
                <w:rFonts w:hint="eastAsia"/>
                <w:noProof/>
              </w:rPr>
              <w:t>起草过程</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_Toc176255771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5</w:t>
            </w:r>
            <w:r w:rsidR="00C47ED9">
              <w:rPr>
                <w:rFonts w:hint="eastAsia"/>
                <w:noProof/>
                <w:webHidden/>
              </w:rPr>
              <w:fldChar w:fldCharType="end"/>
            </w:r>
          </w:hyperlink>
        </w:p>
        <w:p w14:paraId="43F23786" w14:textId="2933DEA0"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72" w:history="1">
            <w:r w:rsidR="00C47ED9" w:rsidRPr="004B021C">
              <w:rPr>
                <w:rStyle w:val="aff5"/>
                <w:rFonts w:hint="eastAsia"/>
                <w:noProof/>
              </w:rPr>
              <w:t xml:space="preserve">3.1  </w:t>
            </w:r>
            <w:r w:rsidR="00C47ED9" w:rsidRPr="004B021C">
              <w:rPr>
                <w:rStyle w:val="aff5"/>
                <w:rFonts w:hint="eastAsia"/>
                <w:noProof/>
              </w:rPr>
              <w:t>成立标准起草工作组</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_Toc176255772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5</w:t>
            </w:r>
            <w:r w:rsidR="00C47ED9">
              <w:rPr>
                <w:rFonts w:hint="eastAsia"/>
                <w:noProof/>
                <w:webHidden/>
              </w:rPr>
              <w:fldChar w:fldCharType="end"/>
            </w:r>
          </w:hyperlink>
        </w:p>
        <w:p w14:paraId="3E48DAD5" w14:textId="43F44DCC"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73" w:history="1">
            <w:r w:rsidR="00C47ED9" w:rsidRPr="004B021C">
              <w:rPr>
                <w:rStyle w:val="aff5"/>
                <w:rFonts w:hint="eastAsia"/>
                <w:noProof/>
              </w:rPr>
              <w:t xml:space="preserve">3.2  </w:t>
            </w:r>
            <w:r w:rsidR="00C47ED9" w:rsidRPr="004B021C">
              <w:rPr>
                <w:rStyle w:val="aff5"/>
                <w:rFonts w:hint="eastAsia"/>
                <w:noProof/>
              </w:rPr>
              <w:t>确立工作计划和标准制定原则</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_Toc176255773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5</w:t>
            </w:r>
            <w:r w:rsidR="00C47ED9">
              <w:rPr>
                <w:rFonts w:hint="eastAsia"/>
                <w:noProof/>
                <w:webHidden/>
              </w:rPr>
              <w:fldChar w:fldCharType="end"/>
            </w:r>
          </w:hyperlink>
        </w:p>
        <w:p w14:paraId="0BFFFE57" w14:textId="539CA09C"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74" w:history="1">
            <w:r w:rsidR="00C47ED9" w:rsidRPr="004B021C">
              <w:rPr>
                <w:rStyle w:val="aff5"/>
                <w:rFonts w:hint="eastAsia"/>
                <w:noProof/>
              </w:rPr>
              <w:t xml:space="preserve">3.3  </w:t>
            </w:r>
            <w:r w:rsidR="00C47ED9" w:rsidRPr="004B021C">
              <w:rPr>
                <w:rStyle w:val="aff5"/>
                <w:rFonts w:hint="eastAsia"/>
                <w:noProof/>
              </w:rPr>
              <w:t>形成标准草案</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_Toc176255774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5</w:t>
            </w:r>
            <w:r w:rsidR="00C47ED9">
              <w:rPr>
                <w:rFonts w:hint="eastAsia"/>
                <w:noProof/>
                <w:webHidden/>
              </w:rPr>
              <w:fldChar w:fldCharType="end"/>
            </w:r>
          </w:hyperlink>
        </w:p>
        <w:p w14:paraId="76CD04BA" w14:textId="2CEFA176"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75" w:history="1">
            <w:r w:rsidR="00C47ED9" w:rsidRPr="004B021C">
              <w:rPr>
                <w:rStyle w:val="aff5"/>
                <w:rFonts w:hint="eastAsia"/>
                <w:noProof/>
              </w:rPr>
              <w:t xml:space="preserve">3.4  </w:t>
            </w:r>
            <w:r w:rsidR="00C47ED9" w:rsidRPr="004B021C">
              <w:rPr>
                <w:rStyle w:val="aff5"/>
                <w:rFonts w:hint="eastAsia"/>
                <w:noProof/>
              </w:rPr>
              <w:t>形成标准讨论稿和编制说明</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_Toc176255775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5</w:t>
            </w:r>
            <w:r w:rsidR="00C47ED9">
              <w:rPr>
                <w:rFonts w:hint="eastAsia"/>
                <w:noProof/>
                <w:webHidden/>
              </w:rPr>
              <w:fldChar w:fldCharType="end"/>
            </w:r>
          </w:hyperlink>
        </w:p>
        <w:p w14:paraId="323B4B75" w14:textId="12E52BD3"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76" w:history="1">
            <w:r w:rsidR="00C47ED9" w:rsidRPr="004B021C">
              <w:rPr>
                <w:rStyle w:val="aff5"/>
                <w:rFonts w:hint="eastAsia"/>
                <w:noProof/>
              </w:rPr>
              <w:t xml:space="preserve">3.5  </w:t>
            </w:r>
            <w:r w:rsidR="00C47ED9" w:rsidRPr="004B021C">
              <w:rPr>
                <w:rStyle w:val="aff5"/>
                <w:rFonts w:hint="eastAsia"/>
                <w:noProof/>
              </w:rPr>
              <w:t>开展非变性</w:t>
            </w:r>
            <w:r w:rsidR="00C47ED9" w:rsidRPr="004B021C">
              <w:rPr>
                <w:rStyle w:val="aff5"/>
                <w:rFonts w:hint="eastAsia"/>
                <w:noProof/>
              </w:rPr>
              <w:t>II</w:t>
            </w:r>
            <w:r w:rsidR="00C47ED9" w:rsidRPr="004B021C">
              <w:rPr>
                <w:rStyle w:val="aff5"/>
                <w:rFonts w:hint="eastAsia"/>
                <w:noProof/>
              </w:rPr>
              <w:t>型胶原蛋白产业调研和质量等级指标检测</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_Toc176255776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6</w:t>
            </w:r>
            <w:r w:rsidR="00C47ED9">
              <w:rPr>
                <w:rFonts w:hint="eastAsia"/>
                <w:noProof/>
                <w:webHidden/>
              </w:rPr>
              <w:fldChar w:fldCharType="end"/>
            </w:r>
          </w:hyperlink>
        </w:p>
        <w:p w14:paraId="27CA92F5" w14:textId="08F18173"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77" w:history="1">
            <w:r w:rsidR="00C47ED9" w:rsidRPr="004B021C">
              <w:rPr>
                <w:rStyle w:val="aff5"/>
                <w:rFonts w:hint="eastAsia"/>
                <w:noProof/>
              </w:rPr>
              <w:t xml:space="preserve">3.6  </w:t>
            </w:r>
            <w:r w:rsidR="00C47ED9" w:rsidRPr="004B021C">
              <w:rPr>
                <w:rStyle w:val="aff5"/>
                <w:rFonts w:hint="eastAsia"/>
                <w:noProof/>
              </w:rPr>
              <w:t>进行方法学验证</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_Toc176255777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6</w:t>
            </w:r>
            <w:r w:rsidR="00C47ED9">
              <w:rPr>
                <w:rFonts w:hint="eastAsia"/>
                <w:noProof/>
                <w:webHidden/>
              </w:rPr>
              <w:fldChar w:fldCharType="end"/>
            </w:r>
          </w:hyperlink>
        </w:p>
        <w:p w14:paraId="21749779" w14:textId="3E340A97"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78" w:history="1">
            <w:r w:rsidR="00C47ED9" w:rsidRPr="004B021C">
              <w:rPr>
                <w:rStyle w:val="aff5"/>
                <w:rFonts w:hint="eastAsia"/>
                <w:noProof/>
              </w:rPr>
              <w:t xml:space="preserve">3.7  </w:t>
            </w:r>
            <w:r w:rsidR="00C47ED9" w:rsidRPr="004B021C">
              <w:rPr>
                <w:rStyle w:val="aff5"/>
                <w:rFonts w:hint="eastAsia"/>
                <w:noProof/>
              </w:rPr>
              <w:t>形成标准征求意见稿和编制说明</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_Toc176255778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6</w:t>
            </w:r>
            <w:r w:rsidR="00C47ED9">
              <w:rPr>
                <w:rFonts w:hint="eastAsia"/>
                <w:noProof/>
                <w:webHidden/>
              </w:rPr>
              <w:fldChar w:fldCharType="end"/>
            </w:r>
          </w:hyperlink>
        </w:p>
        <w:p w14:paraId="10E3C7F7" w14:textId="6FCF7A19"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779" w:history="1">
            <w:r w:rsidR="00C47ED9" w:rsidRPr="004B021C">
              <w:rPr>
                <w:rStyle w:val="aff5"/>
                <w:rFonts w:hint="eastAsia"/>
                <w:noProof/>
              </w:rPr>
              <w:t>二、标准编制原则、主要内容及其确定依据</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_Toc176255779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6</w:t>
            </w:r>
            <w:r w:rsidR="00C47ED9">
              <w:rPr>
                <w:rFonts w:hint="eastAsia"/>
                <w:noProof/>
                <w:webHidden/>
              </w:rPr>
              <w:fldChar w:fldCharType="end"/>
            </w:r>
          </w:hyperlink>
        </w:p>
        <w:p w14:paraId="0D7AFB64" w14:textId="72B8791B" w:rsidR="00C47ED9" w:rsidRDefault="00000000">
          <w:pPr>
            <w:pStyle w:val="TOC2"/>
            <w:tabs>
              <w:tab w:val="right" w:leader="dot" w:pos="8302"/>
            </w:tabs>
            <w:rPr>
              <w:rFonts w:asciiTheme="minorHAnsi" w:eastAsiaTheme="minorEastAsia" w:hAnsiTheme="minorHAnsi" w:cstheme="minorBidi"/>
              <w:noProof/>
              <w:szCs w:val="22"/>
              <w14:ligatures w14:val="standardContextual"/>
            </w:rPr>
          </w:pPr>
          <w:hyperlink w:anchor="_Toc176255780" w:history="1">
            <w:r w:rsidR="00C47ED9" w:rsidRPr="004B021C">
              <w:rPr>
                <w:rStyle w:val="aff5"/>
                <w:rFonts w:hint="eastAsia"/>
                <w:noProof/>
              </w:rPr>
              <w:t xml:space="preserve">1. </w:t>
            </w:r>
            <w:r w:rsidR="00C47ED9" w:rsidRPr="004B021C">
              <w:rPr>
                <w:rStyle w:val="aff5"/>
                <w:rFonts w:hint="eastAsia"/>
                <w:noProof/>
              </w:rPr>
              <w:t>编制原则</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_Toc176255780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6</w:t>
            </w:r>
            <w:r w:rsidR="00C47ED9">
              <w:rPr>
                <w:rFonts w:hint="eastAsia"/>
                <w:noProof/>
                <w:webHidden/>
              </w:rPr>
              <w:fldChar w:fldCharType="end"/>
            </w:r>
          </w:hyperlink>
        </w:p>
        <w:p w14:paraId="420AE8B2" w14:textId="27679B60"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81" w:history="1">
            <w:r w:rsidR="00C47ED9" w:rsidRPr="004B021C">
              <w:rPr>
                <w:rStyle w:val="aff5"/>
                <w:rFonts w:hint="eastAsia"/>
                <w:noProof/>
              </w:rPr>
              <w:t xml:space="preserve">1.1  </w:t>
            </w:r>
            <w:r w:rsidR="00C47ED9" w:rsidRPr="004B021C">
              <w:rPr>
                <w:rStyle w:val="aff5"/>
                <w:rFonts w:hint="eastAsia"/>
                <w:noProof/>
              </w:rPr>
              <w:t>与法衔接，适当延伸</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_Toc176255781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6</w:t>
            </w:r>
            <w:r w:rsidR="00C47ED9">
              <w:rPr>
                <w:rFonts w:hint="eastAsia"/>
                <w:noProof/>
                <w:webHidden/>
              </w:rPr>
              <w:fldChar w:fldCharType="end"/>
            </w:r>
          </w:hyperlink>
        </w:p>
        <w:p w14:paraId="378DC570" w14:textId="11002709"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82" w:history="1">
            <w:r w:rsidR="00C47ED9" w:rsidRPr="004B021C">
              <w:rPr>
                <w:rStyle w:val="aff5"/>
                <w:rFonts w:hint="eastAsia"/>
                <w:noProof/>
              </w:rPr>
              <w:t xml:space="preserve">1.2  </w:t>
            </w:r>
            <w:r w:rsidR="00C47ED9" w:rsidRPr="004B021C">
              <w:rPr>
                <w:rStyle w:val="aff5"/>
                <w:rFonts w:hint="eastAsia"/>
                <w:noProof/>
              </w:rPr>
              <w:t>特点鲜明，目标明确</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_Toc176255782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6</w:t>
            </w:r>
            <w:r w:rsidR="00C47ED9">
              <w:rPr>
                <w:rFonts w:hint="eastAsia"/>
                <w:noProof/>
                <w:webHidden/>
              </w:rPr>
              <w:fldChar w:fldCharType="end"/>
            </w:r>
          </w:hyperlink>
        </w:p>
        <w:p w14:paraId="54DC2C2F" w14:textId="41275028"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83" w:history="1">
            <w:r w:rsidR="00C47ED9" w:rsidRPr="004B021C">
              <w:rPr>
                <w:rStyle w:val="aff5"/>
                <w:rFonts w:hint="eastAsia"/>
                <w:noProof/>
              </w:rPr>
              <w:t xml:space="preserve">1.3  </w:t>
            </w:r>
            <w:r w:rsidR="00C47ED9" w:rsidRPr="004B021C">
              <w:rPr>
                <w:rStyle w:val="aff5"/>
                <w:rFonts w:hint="eastAsia"/>
                <w:noProof/>
              </w:rPr>
              <w:t>科学适用，适度超前</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_Toc176255783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7</w:t>
            </w:r>
            <w:r w:rsidR="00C47ED9">
              <w:rPr>
                <w:rFonts w:hint="eastAsia"/>
                <w:noProof/>
                <w:webHidden/>
              </w:rPr>
              <w:fldChar w:fldCharType="end"/>
            </w:r>
          </w:hyperlink>
        </w:p>
        <w:p w14:paraId="1D97E064" w14:textId="3D9625FA" w:rsidR="00C47ED9" w:rsidRDefault="00000000">
          <w:pPr>
            <w:pStyle w:val="TOC2"/>
            <w:tabs>
              <w:tab w:val="right" w:leader="dot" w:pos="8302"/>
            </w:tabs>
            <w:rPr>
              <w:rFonts w:asciiTheme="minorHAnsi" w:eastAsiaTheme="minorEastAsia" w:hAnsiTheme="minorHAnsi" w:cstheme="minorBidi"/>
              <w:noProof/>
              <w:szCs w:val="22"/>
              <w14:ligatures w14:val="standardContextual"/>
            </w:rPr>
          </w:pPr>
          <w:hyperlink w:anchor="_Toc176255784" w:history="1">
            <w:r w:rsidR="00C47ED9" w:rsidRPr="004B021C">
              <w:rPr>
                <w:rStyle w:val="aff5"/>
                <w:rFonts w:hint="eastAsia"/>
                <w:noProof/>
              </w:rPr>
              <w:t xml:space="preserve">2. </w:t>
            </w:r>
            <w:r w:rsidR="00C47ED9" w:rsidRPr="004B021C">
              <w:rPr>
                <w:rStyle w:val="aff5"/>
                <w:rFonts w:hint="eastAsia"/>
                <w:noProof/>
              </w:rPr>
              <w:t>主要内容及其确定依据</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_Toc176255784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7</w:t>
            </w:r>
            <w:r w:rsidR="00C47ED9">
              <w:rPr>
                <w:rFonts w:hint="eastAsia"/>
                <w:noProof/>
                <w:webHidden/>
              </w:rPr>
              <w:fldChar w:fldCharType="end"/>
            </w:r>
          </w:hyperlink>
        </w:p>
        <w:p w14:paraId="66882395" w14:textId="375C1C18"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85" w:history="1">
            <w:r w:rsidR="00C47ED9" w:rsidRPr="004B021C">
              <w:rPr>
                <w:rStyle w:val="aff5"/>
                <w:rFonts w:hint="eastAsia"/>
                <w:noProof/>
              </w:rPr>
              <w:t xml:space="preserve">2.1  </w:t>
            </w:r>
            <w:r w:rsidR="00C47ED9" w:rsidRPr="004B021C">
              <w:rPr>
                <w:rStyle w:val="aff5"/>
                <w:rFonts w:hint="eastAsia"/>
                <w:noProof/>
              </w:rPr>
              <w:t>“</w:t>
            </w:r>
            <w:r w:rsidR="00C47ED9" w:rsidRPr="004B021C">
              <w:rPr>
                <w:rStyle w:val="aff5"/>
                <w:rFonts w:hint="eastAsia"/>
                <w:noProof/>
              </w:rPr>
              <w:t xml:space="preserve">1 </w:t>
            </w:r>
            <w:r w:rsidR="00C47ED9" w:rsidRPr="004B021C">
              <w:rPr>
                <w:rStyle w:val="aff5"/>
                <w:rFonts w:hint="eastAsia"/>
                <w:noProof/>
              </w:rPr>
              <w:t>范围”</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_Toc176255785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7</w:t>
            </w:r>
            <w:r w:rsidR="00C47ED9">
              <w:rPr>
                <w:rFonts w:hint="eastAsia"/>
                <w:noProof/>
                <w:webHidden/>
              </w:rPr>
              <w:fldChar w:fldCharType="end"/>
            </w:r>
          </w:hyperlink>
        </w:p>
        <w:p w14:paraId="0FCA015E" w14:textId="659BF7C2"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86" w:history="1">
            <w:r w:rsidR="00C47ED9" w:rsidRPr="004B021C">
              <w:rPr>
                <w:rStyle w:val="aff5"/>
                <w:rFonts w:hint="eastAsia"/>
                <w:noProof/>
              </w:rPr>
              <w:t xml:space="preserve">2.2  </w:t>
            </w:r>
            <w:r w:rsidR="00C47ED9" w:rsidRPr="004B021C">
              <w:rPr>
                <w:rStyle w:val="aff5"/>
                <w:rFonts w:hint="eastAsia"/>
                <w:noProof/>
              </w:rPr>
              <w:t>“</w:t>
            </w:r>
            <w:r w:rsidR="00C47ED9" w:rsidRPr="004B021C">
              <w:rPr>
                <w:rStyle w:val="aff5"/>
                <w:rFonts w:hint="eastAsia"/>
                <w:noProof/>
              </w:rPr>
              <w:t xml:space="preserve">3 </w:t>
            </w:r>
            <w:r w:rsidR="00C47ED9" w:rsidRPr="004B021C">
              <w:rPr>
                <w:rStyle w:val="aff5"/>
                <w:rFonts w:hint="eastAsia"/>
                <w:noProof/>
              </w:rPr>
              <w:t>术语和定义”</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_Toc176255786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7</w:t>
            </w:r>
            <w:r w:rsidR="00C47ED9">
              <w:rPr>
                <w:rFonts w:hint="eastAsia"/>
                <w:noProof/>
                <w:webHidden/>
              </w:rPr>
              <w:fldChar w:fldCharType="end"/>
            </w:r>
          </w:hyperlink>
        </w:p>
        <w:p w14:paraId="53A33EC0" w14:textId="2179237B"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87" w:history="1">
            <w:r w:rsidR="00C47ED9" w:rsidRPr="004B021C">
              <w:rPr>
                <w:rStyle w:val="aff5"/>
                <w:rFonts w:hint="eastAsia"/>
                <w:noProof/>
              </w:rPr>
              <w:t xml:space="preserve">2.3  </w:t>
            </w:r>
            <w:r w:rsidR="00C47ED9" w:rsidRPr="004B021C">
              <w:rPr>
                <w:rStyle w:val="aff5"/>
                <w:rFonts w:hint="eastAsia"/>
                <w:noProof/>
              </w:rPr>
              <w:t>“</w:t>
            </w:r>
            <w:r w:rsidR="00C47ED9" w:rsidRPr="004B021C">
              <w:rPr>
                <w:rStyle w:val="aff5"/>
                <w:rFonts w:hint="eastAsia"/>
                <w:noProof/>
              </w:rPr>
              <w:t xml:space="preserve">4 </w:t>
            </w:r>
            <w:r w:rsidR="00C47ED9" w:rsidRPr="004B021C">
              <w:rPr>
                <w:rStyle w:val="aff5"/>
                <w:rFonts w:hint="eastAsia"/>
                <w:noProof/>
              </w:rPr>
              <w:t>技术要求”</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_Toc176255787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8</w:t>
            </w:r>
            <w:r w:rsidR="00C47ED9">
              <w:rPr>
                <w:rFonts w:hint="eastAsia"/>
                <w:noProof/>
                <w:webHidden/>
              </w:rPr>
              <w:fldChar w:fldCharType="end"/>
            </w:r>
          </w:hyperlink>
        </w:p>
        <w:p w14:paraId="68F539C5" w14:textId="74DC6585"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94" w:history="1">
            <w:r w:rsidR="00C47ED9" w:rsidRPr="004B021C">
              <w:rPr>
                <w:rStyle w:val="aff5"/>
                <w:rFonts w:hint="eastAsia"/>
                <w:noProof/>
              </w:rPr>
              <w:t xml:space="preserve">2.4  </w:t>
            </w:r>
            <w:r w:rsidR="00C47ED9" w:rsidRPr="004B021C">
              <w:rPr>
                <w:rStyle w:val="aff5"/>
                <w:rFonts w:hint="eastAsia"/>
                <w:noProof/>
              </w:rPr>
              <w:t>“</w:t>
            </w:r>
            <w:r w:rsidR="00C47ED9" w:rsidRPr="004B021C">
              <w:rPr>
                <w:rStyle w:val="aff5"/>
                <w:rFonts w:hint="eastAsia"/>
                <w:noProof/>
              </w:rPr>
              <w:t xml:space="preserve">5 </w:t>
            </w:r>
            <w:r w:rsidR="00C47ED9" w:rsidRPr="004B021C">
              <w:rPr>
                <w:rStyle w:val="aff5"/>
                <w:rFonts w:hint="eastAsia"/>
                <w:noProof/>
              </w:rPr>
              <w:t>生产加工过程的卫生要求”</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_Toc176255794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12</w:t>
            </w:r>
            <w:r w:rsidR="00C47ED9">
              <w:rPr>
                <w:rFonts w:hint="eastAsia"/>
                <w:noProof/>
                <w:webHidden/>
              </w:rPr>
              <w:fldChar w:fldCharType="end"/>
            </w:r>
          </w:hyperlink>
        </w:p>
        <w:p w14:paraId="22B619F4" w14:textId="74638E90"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95" w:history="1">
            <w:r w:rsidR="00C47ED9" w:rsidRPr="004B021C">
              <w:rPr>
                <w:rStyle w:val="aff5"/>
                <w:rFonts w:hint="eastAsia"/>
                <w:noProof/>
              </w:rPr>
              <w:t xml:space="preserve">2.5  </w:t>
            </w:r>
            <w:r w:rsidR="00C47ED9" w:rsidRPr="004B021C">
              <w:rPr>
                <w:rStyle w:val="aff5"/>
                <w:rFonts w:hint="eastAsia"/>
                <w:noProof/>
              </w:rPr>
              <w:t>“</w:t>
            </w:r>
            <w:r w:rsidR="00C47ED9" w:rsidRPr="004B021C">
              <w:rPr>
                <w:rStyle w:val="aff5"/>
                <w:rFonts w:hint="eastAsia"/>
                <w:noProof/>
              </w:rPr>
              <w:t xml:space="preserve">6 </w:t>
            </w:r>
            <w:r w:rsidR="00C47ED9" w:rsidRPr="004B021C">
              <w:rPr>
                <w:rStyle w:val="aff5"/>
                <w:rFonts w:hint="eastAsia"/>
                <w:noProof/>
              </w:rPr>
              <w:t>试验方法”</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_Toc176255795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12</w:t>
            </w:r>
            <w:r w:rsidR="00C47ED9">
              <w:rPr>
                <w:rFonts w:hint="eastAsia"/>
                <w:noProof/>
                <w:webHidden/>
              </w:rPr>
              <w:fldChar w:fldCharType="end"/>
            </w:r>
          </w:hyperlink>
        </w:p>
        <w:p w14:paraId="3F0E61E2" w14:textId="334A67B0"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96" w:history="1">
            <w:r w:rsidR="00C47ED9" w:rsidRPr="004B021C">
              <w:rPr>
                <w:rStyle w:val="aff5"/>
                <w:rFonts w:hint="eastAsia"/>
                <w:noProof/>
              </w:rPr>
              <w:t xml:space="preserve">2.6  </w:t>
            </w:r>
            <w:r w:rsidR="00C47ED9" w:rsidRPr="004B021C">
              <w:rPr>
                <w:rStyle w:val="aff5"/>
                <w:rFonts w:hint="eastAsia"/>
                <w:noProof/>
              </w:rPr>
              <w:t>“</w:t>
            </w:r>
            <w:r w:rsidR="00C47ED9" w:rsidRPr="004B021C">
              <w:rPr>
                <w:rStyle w:val="aff5"/>
                <w:rFonts w:hint="eastAsia"/>
                <w:noProof/>
              </w:rPr>
              <w:t xml:space="preserve">7 </w:t>
            </w:r>
            <w:r w:rsidR="00C47ED9" w:rsidRPr="004B021C">
              <w:rPr>
                <w:rStyle w:val="aff5"/>
                <w:rFonts w:hint="eastAsia"/>
                <w:noProof/>
              </w:rPr>
              <w:t>检验规则”</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_Toc176255796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13</w:t>
            </w:r>
            <w:r w:rsidR="00C47ED9">
              <w:rPr>
                <w:rFonts w:hint="eastAsia"/>
                <w:noProof/>
                <w:webHidden/>
              </w:rPr>
              <w:fldChar w:fldCharType="end"/>
            </w:r>
          </w:hyperlink>
        </w:p>
        <w:p w14:paraId="25CDF671" w14:textId="19D40DA7"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97" w:history="1">
            <w:r w:rsidR="00C47ED9" w:rsidRPr="004B021C">
              <w:rPr>
                <w:rStyle w:val="aff5"/>
                <w:rFonts w:hint="eastAsia"/>
                <w:noProof/>
              </w:rPr>
              <w:t xml:space="preserve">2.7  </w:t>
            </w:r>
            <w:r w:rsidR="00C47ED9" w:rsidRPr="004B021C">
              <w:rPr>
                <w:rStyle w:val="aff5"/>
                <w:rFonts w:hint="eastAsia"/>
                <w:noProof/>
              </w:rPr>
              <w:t>“</w:t>
            </w:r>
            <w:r w:rsidR="00C47ED9" w:rsidRPr="004B021C">
              <w:rPr>
                <w:rStyle w:val="aff5"/>
                <w:rFonts w:hint="eastAsia"/>
                <w:noProof/>
              </w:rPr>
              <w:t xml:space="preserve">8 </w:t>
            </w:r>
            <w:r w:rsidR="00C47ED9" w:rsidRPr="004B021C">
              <w:rPr>
                <w:rStyle w:val="aff5"/>
                <w:rFonts w:hint="eastAsia"/>
                <w:noProof/>
              </w:rPr>
              <w:t>判定规则”</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_Toc176255797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14</w:t>
            </w:r>
            <w:r w:rsidR="00C47ED9">
              <w:rPr>
                <w:rFonts w:hint="eastAsia"/>
                <w:noProof/>
                <w:webHidden/>
              </w:rPr>
              <w:fldChar w:fldCharType="end"/>
            </w:r>
          </w:hyperlink>
        </w:p>
        <w:p w14:paraId="697410A2" w14:textId="1EB8FC9F"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98" w:history="1">
            <w:r w:rsidR="00C47ED9" w:rsidRPr="004B021C">
              <w:rPr>
                <w:rStyle w:val="aff5"/>
                <w:rFonts w:hint="eastAsia"/>
                <w:noProof/>
              </w:rPr>
              <w:t xml:space="preserve">2.8  </w:t>
            </w:r>
            <w:r w:rsidR="00C47ED9" w:rsidRPr="004B021C">
              <w:rPr>
                <w:rStyle w:val="aff5"/>
                <w:rFonts w:hint="eastAsia"/>
                <w:noProof/>
              </w:rPr>
              <w:t>“</w:t>
            </w:r>
            <w:r w:rsidR="00C47ED9" w:rsidRPr="004B021C">
              <w:rPr>
                <w:rStyle w:val="aff5"/>
                <w:rFonts w:hint="eastAsia"/>
                <w:noProof/>
              </w:rPr>
              <w:t>9 9</w:t>
            </w:r>
            <w:r w:rsidR="00C47ED9" w:rsidRPr="004B021C">
              <w:rPr>
                <w:rStyle w:val="aff5"/>
                <w:rFonts w:hint="eastAsia"/>
                <w:noProof/>
              </w:rPr>
              <w:t xml:space="preserve">　标志、标签、包装、运输和贮存”</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_Toc176255798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14</w:t>
            </w:r>
            <w:r w:rsidR="00C47ED9">
              <w:rPr>
                <w:rFonts w:hint="eastAsia"/>
                <w:noProof/>
                <w:webHidden/>
              </w:rPr>
              <w:fldChar w:fldCharType="end"/>
            </w:r>
          </w:hyperlink>
        </w:p>
        <w:p w14:paraId="24AF10E9" w14:textId="5D590C9C"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799" w:history="1">
            <w:r w:rsidR="00C47ED9" w:rsidRPr="004B021C">
              <w:rPr>
                <w:rStyle w:val="aff5"/>
                <w:rFonts w:hint="eastAsia"/>
                <w:noProof/>
              </w:rPr>
              <w:t xml:space="preserve">2.9  </w:t>
            </w:r>
            <w:r w:rsidR="00C47ED9" w:rsidRPr="004B021C">
              <w:rPr>
                <w:rStyle w:val="aff5"/>
                <w:rFonts w:hint="eastAsia"/>
                <w:noProof/>
              </w:rPr>
              <w:t>“附录</w:t>
            </w:r>
            <w:r w:rsidR="00C47ED9" w:rsidRPr="004B021C">
              <w:rPr>
                <w:rStyle w:val="aff5"/>
                <w:rFonts w:hint="eastAsia"/>
                <w:noProof/>
              </w:rPr>
              <w:t>A</w:t>
            </w:r>
            <w:r w:rsidR="00C47ED9" w:rsidRPr="004B021C">
              <w:rPr>
                <w:rStyle w:val="aff5"/>
                <w:rFonts w:hint="eastAsia"/>
                <w:noProof/>
              </w:rPr>
              <w:t>”</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_Toc176255799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15</w:t>
            </w:r>
            <w:r w:rsidR="00C47ED9">
              <w:rPr>
                <w:rFonts w:hint="eastAsia"/>
                <w:noProof/>
                <w:webHidden/>
              </w:rPr>
              <w:fldChar w:fldCharType="end"/>
            </w:r>
          </w:hyperlink>
        </w:p>
        <w:p w14:paraId="6B28905C" w14:textId="262DC6D4" w:rsidR="00C47ED9" w:rsidRDefault="00000000">
          <w:pPr>
            <w:pStyle w:val="TOC3"/>
            <w:tabs>
              <w:tab w:val="right" w:leader="dot" w:pos="8302"/>
            </w:tabs>
            <w:rPr>
              <w:rFonts w:asciiTheme="minorHAnsi" w:eastAsiaTheme="minorEastAsia" w:hAnsiTheme="minorHAnsi" w:cstheme="minorBidi"/>
              <w:noProof/>
              <w:szCs w:val="22"/>
              <w14:ligatures w14:val="standardContextual"/>
            </w:rPr>
          </w:pPr>
          <w:hyperlink w:anchor="_Toc176255800" w:history="1">
            <w:r w:rsidR="00C47ED9" w:rsidRPr="004B021C">
              <w:rPr>
                <w:rStyle w:val="aff5"/>
                <w:rFonts w:hint="eastAsia"/>
                <w:noProof/>
              </w:rPr>
              <w:t xml:space="preserve">2.10  </w:t>
            </w:r>
            <w:r w:rsidR="00C47ED9" w:rsidRPr="004B021C">
              <w:rPr>
                <w:rStyle w:val="aff5"/>
                <w:rFonts w:hint="eastAsia"/>
                <w:noProof/>
              </w:rPr>
              <w:t>“附录</w:t>
            </w:r>
            <w:r w:rsidR="00C47ED9" w:rsidRPr="004B021C">
              <w:rPr>
                <w:rStyle w:val="aff5"/>
                <w:rFonts w:hint="eastAsia"/>
                <w:noProof/>
              </w:rPr>
              <w:t>B</w:t>
            </w:r>
            <w:r w:rsidR="00C47ED9" w:rsidRPr="004B021C">
              <w:rPr>
                <w:rStyle w:val="aff5"/>
                <w:rFonts w:hint="eastAsia"/>
                <w:noProof/>
              </w:rPr>
              <w:t>”</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_Toc176255800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17</w:t>
            </w:r>
            <w:r w:rsidR="00C47ED9">
              <w:rPr>
                <w:rFonts w:hint="eastAsia"/>
                <w:noProof/>
                <w:webHidden/>
              </w:rPr>
              <w:fldChar w:fldCharType="end"/>
            </w:r>
          </w:hyperlink>
        </w:p>
        <w:p w14:paraId="0E3711D6" w14:textId="19EC9D3C"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801" w:history="1">
            <w:r w:rsidR="00C47ED9" w:rsidRPr="004B021C">
              <w:rPr>
                <w:rStyle w:val="aff5"/>
                <w:rFonts w:hint="eastAsia"/>
                <w:noProof/>
              </w:rPr>
              <w:t>三、</w:t>
            </w:r>
            <w:r w:rsidR="00C47ED9" w:rsidRPr="004B021C">
              <w:rPr>
                <w:rStyle w:val="aff5"/>
                <w:rFonts w:hint="eastAsia"/>
                <w:noProof/>
              </w:rPr>
              <w:t xml:space="preserve"> </w:t>
            </w:r>
            <w:r w:rsidR="00C47ED9" w:rsidRPr="004B021C">
              <w:rPr>
                <w:rStyle w:val="aff5"/>
                <w:rFonts w:hint="eastAsia"/>
                <w:noProof/>
              </w:rPr>
              <w:t>试验验证的分析、综述报告，技术经济论证，预期的经济效益、社会效益和生态效益</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_Toc176255801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18</w:t>
            </w:r>
            <w:r w:rsidR="00C47ED9">
              <w:rPr>
                <w:rFonts w:hint="eastAsia"/>
                <w:noProof/>
                <w:webHidden/>
              </w:rPr>
              <w:fldChar w:fldCharType="end"/>
            </w:r>
          </w:hyperlink>
        </w:p>
        <w:p w14:paraId="71B3EE52" w14:textId="60F06DE4"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802" w:history="1">
            <w:r w:rsidR="00C47ED9" w:rsidRPr="004B021C">
              <w:rPr>
                <w:rStyle w:val="aff5"/>
                <w:rFonts w:hint="eastAsia"/>
                <w:noProof/>
              </w:rPr>
              <w:t>四、与国际、国外同类标准技术内容的对比情况，或者与测试的国外样品、样机的有关数据对比情况</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_Toc176255802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18</w:t>
            </w:r>
            <w:r w:rsidR="00C47ED9">
              <w:rPr>
                <w:rFonts w:hint="eastAsia"/>
                <w:noProof/>
                <w:webHidden/>
              </w:rPr>
              <w:fldChar w:fldCharType="end"/>
            </w:r>
          </w:hyperlink>
        </w:p>
        <w:p w14:paraId="1ECAA6BE" w14:textId="761FC46B"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803" w:history="1">
            <w:r w:rsidR="00C47ED9" w:rsidRPr="004B021C">
              <w:rPr>
                <w:rStyle w:val="aff5"/>
                <w:rFonts w:hint="eastAsia"/>
                <w:noProof/>
              </w:rPr>
              <w:t>五、</w:t>
            </w:r>
            <w:r w:rsidR="00C47ED9" w:rsidRPr="004B021C">
              <w:rPr>
                <w:rStyle w:val="aff5"/>
                <w:rFonts w:hint="eastAsia"/>
                <w:noProof/>
              </w:rPr>
              <w:t xml:space="preserve"> </w:t>
            </w:r>
            <w:r w:rsidR="00C47ED9" w:rsidRPr="004B021C">
              <w:rPr>
                <w:rStyle w:val="aff5"/>
                <w:rFonts w:hint="eastAsia"/>
                <w:noProof/>
              </w:rPr>
              <w:t>以国际标准为基础的起草情况，以及是否合规引用或者采用国际国外标准，并说明未采用国际标准的原因</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_Toc176255803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19</w:t>
            </w:r>
            <w:r w:rsidR="00C47ED9">
              <w:rPr>
                <w:rFonts w:hint="eastAsia"/>
                <w:noProof/>
                <w:webHidden/>
              </w:rPr>
              <w:fldChar w:fldCharType="end"/>
            </w:r>
          </w:hyperlink>
        </w:p>
        <w:p w14:paraId="5F6B90AD" w14:textId="0167617C"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804" w:history="1">
            <w:r w:rsidR="00C47ED9" w:rsidRPr="004B021C">
              <w:rPr>
                <w:rStyle w:val="aff5"/>
                <w:rFonts w:hint="eastAsia"/>
                <w:noProof/>
              </w:rPr>
              <w:t>六、与现行法律、行政法规及相关标准的关系</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_Toc176255804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19</w:t>
            </w:r>
            <w:r w:rsidR="00C47ED9">
              <w:rPr>
                <w:rFonts w:hint="eastAsia"/>
                <w:noProof/>
                <w:webHidden/>
              </w:rPr>
              <w:fldChar w:fldCharType="end"/>
            </w:r>
          </w:hyperlink>
        </w:p>
        <w:p w14:paraId="3C9A2BE4" w14:textId="4B2AA018"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805" w:history="1">
            <w:r w:rsidR="00C47ED9" w:rsidRPr="004B021C">
              <w:rPr>
                <w:rStyle w:val="aff5"/>
                <w:rFonts w:hint="eastAsia"/>
                <w:noProof/>
              </w:rPr>
              <w:t>七、</w:t>
            </w:r>
            <w:r w:rsidR="00C47ED9" w:rsidRPr="004B021C">
              <w:rPr>
                <w:rStyle w:val="aff5"/>
                <w:rFonts w:hint="eastAsia"/>
                <w:noProof/>
              </w:rPr>
              <w:t xml:space="preserve"> </w:t>
            </w:r>
            <w:r w:rsidR="00C47ED9" w:rsidRPr="004B021C">
              <w:rPr>
                <w:rStyle w:val="aff5"/>
                <w:rFonts w:hint="eastAsia"/>
                <w:noProof/>
              </w:rPr>
              <w:t>重大分歧意见的处理经过和依据</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_Toc176255805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19</w:t>
            </w:r>
            <w:r w:rsidR="00C47ED9">
              <w:rPr>
                <w:rFonts w:hint="eastAsia"/>
                <w:noProof/>
                <w:webHidden/>
              </w:rPr>
              <w:fldChar w:fldCharType="end"/>
            </w:r>
          </w:hyperlink>
        </w:p>
        <w:p w14:paraId="0192AB04" w14:textId="55A19BFD"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806" w:history="1">
            <w:r w:rsidR="00C47ED9" w:rsidRPr="004B021C">
              <w:rPr>
                <w:rStyle w:val="aff5"/>
                <w:rFonts w:hint="eastAsia"/>
                <w:noProof/>
              </w:rPr>
              <w:t>八、涉及专利的有关说明</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_Toc176255806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19</w:t>
            </w:r>
            <w:r w:rsidR="00C47ED9">
              <w:rPr>
                <w:rFonts w:hint="eastAsia"/>
                <w:noProof/>
                <w:webHidden/>
              </w:rPr>
              <w:fldChar w:fldCharType="end"/>
            </w:r>
          </w:hyperlink>
        </w:p>
        <w:p w14:paraId="72B75C1E" w14:textId="455A69B7"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807" w:history="1">
            <w:r w:rsidR="00C47ED9" w:rsidRPr="004B021C">
              <w:rPr>
                <w:rStyle w:val="aff5"/>
                <w:rFonts w:hint="eastAsia"/>
                <w:noProof/>
              </w:rPr>
              <w:t>九、实施标准的要求，以及组织措施、技术措施、过渡期和实施日期的建议等措施建议</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_Toc176255807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19</w:t>
            </w:r>
            <w:r w:rsidR="00C47ED9">
              <w:rPr>
                <w:rFonts w:hint="eastAsia"/>
                <w:noProof/>
                <w:webHidden/>
              </w:rPr>
              <w:fldChar w:fldCharType="end"/>
            </w:r>
          </w:hyperlink>
        </w:p>
        <w:p w14:paraId="7F55D66B" w14:textId="63C4F9AD" w:rsidR="00C47ED9" w:rsidRDefault="00000000">
          <w:pPr>
            <w:pStyle w:val="TOC1"/>
            <w:tabs>
              <w:tab w:val="right" w:leader="dot" w:pos="8302"/>
            </w:tabs>
            <w:rPr>
              <w:rFonts w:asciiTheme="minorHAnsi" w:eastAsiaTheme="minorEastAsia" w:hAnsiTheme="minorHAnsi" w:cstheme="minorBidi"/>
              <w:noProof/>
              <w:szCs w:val="22"/>
              <w14:ligatures w14:val="standardContextual"/>
            </w:rPr>
          </w:pPr>
          <w:hyperlink w:anchor="_Toc176255808" w:history="1">
            <w:r w:rsidR="00C47ED9" w:rsidRPr="004B021C">
              <w:rPr>
                <w:rStyle w:val="aff5"/>
                <w:rFonts w:hint="eastAsia"/>
                <w:noProof/>
              </w:rPr>
              <w:t>十、其他应当说明的事项。</w:t>
            </w:r>
            <w:r w:rsidR="00C47ED9">
              <w:rPr>
                <w:rFonts w:hint="eastAsia"/>
                <w:noProof/>
                <w:webHidden/>
              </w:rPr>
              <w:tab/>
            </w:r>
            <w:r w:rsidR="00C47ED9">
              <w:rPr>
                <w:rFonts w:hint="eastAsia"/>
                <w:noProof/>
                <w:webHidden/>
              </w:rPr>
              <w:fldChar w:fldCharType="begin"/>
            </w:r>
            <w:r w:rsidR="00C47ED9">
              <w:rPr>
                <w:rFonts w:hint="eastAsia"/>
                <w:noProof/>
                <w:webHidden/>
              </w:rPr>
              <w:instrText xml:space="preserve"> </w:instrText>
            </w:r>
            <w:r w:rsidR="00C47ED9">
              <w:rPr>
                <w:noProof/>
                <w:webHidden/>
              </w:rPr>
              <w:instrText>PAGEREF _Toc176255808 \h</w:instrText>
            </w:r>
            <w:r w:rsidR="00C47ED9">
              <w:rPr>
                <w:rFonts w:hint="eastAsia"/>
                <w:noProof/>
                <w:webHidden/>
              </w:rPr>
              <w:instrText xml:space="preserve"> </w:instrText>
            </w:r>
            <w:r w:rsidR="00C47ED9">
              <w:rPr>
                <w:rFonts w:hint="eastAsia"/>
                <w:noProof/>
                <w:webHidden/>
              </w:rPr>
            </w:r>
            <w:r w:rsidR="00C47ED9">
              <w:rPr>
                <w:rFonts w:hint="eastAsia"/>
                <w:noProof/>
                <w:webHidden/>
              </w:rPr>
              <w:fldChar w:fldCharType="separate"/>
            </w:r>
            <w:r w:rsidR="00C47ED9">
              <w:rPr>
                <w:noProof/>
                <w:webHidden/>
              </w:rPr>
              <w:t>19</w:t>
            </w:r>
            <w:r w:rsidR="00C47ED9">
              <w:rPr>
                <w:rFonts w:hint="eastAsia"/>
                <w:noProof/>
                <w:webHidden/>
              </w:rPr>
              <w:fldChar w:fldCharType="end"/>
            </w:r>
          </w:hyperlink>
        </w:p>
        <w:p w14:paraId="378E8796" w14:textId="74CF78A5" w:rsidR="00106B49" w:rsidRPr="00C47ED9" w:rsidRDefault="00000000" w:rsidP="00C47ED9">
          <w:pPr>
            <w:spacing w:line="360" w:lineRule="auto"/>
            <w:rPr>
              <w:sz w:val="24"/>
            </w:rPr>
          </w:pPr>
          <w:r>
            <w:rPr>
              <w:bCs/>
              <w:sz w:val="24"/>
              <w:lang w:val="zh-CN"/>
            </w:rPr>
            <w:lastRenderedPageBreak/>
            <w:fldChar w:fldCharType="end"/>
          </w:r>
        </w:p>
      </w:sdtContent>
    </w:sdt>
    <w:p w14:paraId="05E65255" w14:textId="22301648" w:rsidR="007B601A" w:rsidRDefault="00000000" w:rsidP="007B601A">
      <w:pPr>
        <w:spacing w:line="360" w:lineRule="auto"/>
        <w:jc w:val="center"/>
        <w:rPr>
          <w:b/>
          <w:bCs/>
          <w:sz w:val="30"/>
          <w:szCs w:val="30"/>
        </w:rPr>
      </w:pPr>
      <w:r>
        <w:rPr>
          <w:b/>
          <w:bCs/>
          <w:sz w:val="30"/>
          <w:szCs w:val="30"/>
        </w:rPr>
        <w:t>《</w:t>
      </w:r>
      <w:r w:rsidR="00D96CFA" w:rsidRPr="00D96CFA">
        <w:rPr>
          <w:rFonts w:hint="eastAsia"/>
          <w:b/>
          <w:bCs/>
          <w:sz w:val="30"/>
          <w:szCs w:val="30"/>
        </w:rPr>
        <w:t>非变性</w:t>
      </w:r>
      <w:r w:rsidR="00D96CFA" w:rsidRPr="00D96CFA">
        <w:rPr>
          <w:rFonts w:hint="eastAsia"/>
          <w:b/>
          <w:bCs/>
          <w:sz w:val="30"/>
          <w:szCs w:val="30"/>
        </w:rPr>
        <w:t>II</w:t>
      </w:r>
      <w:r w:rsidR="00D96CFA" w:rsidRPr="00D96CFA">
        <w:rPr>
          <w:rFonts w:hint="eastAsia"/>
          <w:b/>
          <w:bCs/>
          <w:sz w:val="30"/>
          <w:szCs w:val="30"/>
        </w:rPr>
        <w:t>型胶原蛋白</w:t>
      </w:r>
      <w:r>
        <w:rPr>
          <w:b/>
          <w:bCs/>
          <w:sz w:val="30"/>
          <w:szCs w:val="30"/>
        </w:rPr>
        <w:t>》</w:t>
      </w:r>
      <w:r w:rsidR="00D96CFA">
        <w:rPr>
          <w:rFonts w:hint="eastAsia"/>
          <w:b/>
          <w:bCs/>
          <w:sz w:val="30"/>
          <w:szCs w:val="30"/>
        </w:rPr>
        <w:t>行业标准</w:t>
      </w:r>
    </w:p>
    <w:p w14:paraId="17CE8ADB" w14:textId="6D2D8222" w:rsidR="009E22AF" w:rsidRDefault="002D5D5A" w:rsidP="002D5D5A">
      <w:pPr>
        <w:spacing w:line="360" w:lineRule="auto"/>
        <w:jc w:val="center"/>
        <w:rPr>
          <w:b/>
          <w:bCs/>
          <w:sz w:val="30"/>
          <w:szCs w:val="30"/>
        </w:rPr>
      </w:pPr>
      <w:r>
        <w:rPr>
          <w:b/>
          <w:bCs/>
          <w:sz w:val="30"/>
          <w:szCs w:val="30"/>
        </w:rPr>
        <w:t>编制说明</w:t>
      </w:r>
    </w:p>
    <w:p w14:paraId="4DC72EEC" w14:textId="77777777" w:rsidR="00282016" w:rsidRDefault="00000000">
      <w:pPr>
        <w:pStyle w:val="1"/>
        <w:spacing w:beforeLines="0" w:before="0" w:afterLines="0" w:after="0"/>
        <w:rPr>
          <w:kern w:val="2"/>
          <w:szCs w:val="24"/>
        </w:rPr>
      </w:pPr>
      <w:bookmarkStart w:id="2" w:name="_Toc176255764"/>
      <w:r>
        <w:rPr>
          <w:kern w:val="2"/>
          <w:szCs w:val="24"/>
        </w:rPr>
        <w:t>一、</w:t>
      </w:r>
      <w:r>
        <w:rPr>
          <w:kern w:val="2"/>
          <w:szCs w:val="24"/>
        </w:rPr>
        <w:t xml:space="preserve"> </w:t>
      </w:r>
      <w:r>
        <w:rPr>
          <w:kern w:val="2"/>
          <w:szCs w:val="24"/>
        </w:rPr>
        <w:t>工作简况</w:t>
      </w:r>
      <w:bookmarkEnd w:id="2"/>
    </w:p>
    <w:p w14:paraId="6D60015A" w14:textId="77777777" w:rsidR="00282016" w:rsidRDefault="00000000">
      <w:pPr>
        <w:pStyle w:val="2"/>
        <w:rPr>
          <w:rFonts w:ascii="Times New Roman" w:hAnsi="Times New Roman"/>
        </w:rPr>
      </w:pPr>
      <w:bookmarkStart w:id="3" w:name="_Toc176255765"/>
      <w:bookmarkEnd w:id="1"/>
      <w:r>
        <w:rPr>
          <w:rFonts w:ascii="Times New Roman" w:hAnsi="Times New Roman"/>
        </w:rPr>
        <w:t xml:space="preserve">1. </w:t>
      </w:r>
      <w:r>
        <w:rPr>
          <w:rFonts w:ascii="Times New Roman" w:hAnsi="Times New Roman"/>
        </w:rPr>
        <w:t>任务来源</w:t>
      </w:r>
      <w:bookmarkEnd w:id="3"/>
    </w:p>
    <w:p w14:paraId="1720CFEF" w14:textId="6D118E74" w:rsidR="00282016" w:rsidRDefault="007C1F1E" w:rsidP="006756F2">
      <w:pPr>
        <w:spacing w:line="360" w:lineRule="auto"/>
        <w:ind w:firstLineChars="200" w:firstLine="480"/>
        <w:rPr>
          <w:sz w:val="24"/>
        </w:rPr>
      </w:pPr>
      <w:r w:rsidRPr="007C1F1E">
        <w:rPr>
          <w:rFonts w:hint="eastAsia"/>
          <w:sz w:val="24"/>
        </w:rPr>
        <w:t>本标准的制定任务来源于工业和信息化部</w:t>
      </w:r>
      <w:r w:rsidRPr="007C1F1E">
        <w:rPr>
          <w:rFonts w:hint="eastAsia"/>
          <w:sz w:val="24"/>
        </w:rPr>
        <w:t>2023</w:t>
      </w:r>
      <w:r w:rsidRPr="007C1F1E">
        <w:rPr>
          <w:rFonts w:hint="eastAsia"/>
          <w:sz w:val="24"/>
        </w:rPr>
        <w:t>年下达的第一批行业标准制定通知（工信厅科〔</w:t>
      </w:r>
      <w:r w:rsidRPr="007C1F1E">
        <w:rPr>
          <w:rFonts w:hint="eastAsia"/>
          <w:sz w:val="24"/>
        </w:rPr>
        <w:t>2023</w:t>
      </w:r>
      <w:r w:rsidRPr="007C1F1E">
        <w:rPr>
          <w:rFonts w:hint="eastAsia"/>
          <w:sz w:val="24"/>
        </w:rPr>
        <w:t>〕</w:t>
      </w:r>
      <w:r w:rsidRPr="007C1F1E">
        <w:rPr>
          <w:rFonts w:hint="eastAsia"/>
          <w:sz w:val="24"/>
        </w:rPr>
        <w:t>18</w:t>
      </w:r>
      <w:r w:rsidRPr="007C1F1E">
        <w:rPr>
          <w:rFonts w:hint="eastAsia"/>
          <w:sz w:val="24"/>
        </w:rPr>
        <w:t>号）中《非变性</w:t>
      </w:r>
      <w:r w:rsidRPr="007C1F1E">
        <w:rPr>
          <w:rFonts w:hint="eastAsia"/>
          <w:sz w:val="24"/>
        </w:rPr>
        <w:t>II</w:t>
      </w:r>
      <w:r w:rsidRPr="007C1F1E">
        <w:rPr>
          <w:rFonts w:hint="eastAsia"/>
          <w:sz w:val="24"/>
        </w:rPr>
        <w:t>型胶原蛋白》项目（计划号为</w:t>
      </w:r>
      <w:r w:rsidRPr="007C1F1E">
        <w:rPr>
          <w:rFonts w:hint="eastAsia"/>
          <w:sz w:val="24"/>
        </w:rPr>
        <w:t>2023-0500T-QB</w:t>
      </w:r>
      <w:r w:rsidRPr="007C1F1E">
        <w:rPr>
          <w:rFonts w:hint="eastAsia"/>
          <w:sz w:val="24"/>
        </w:rPr>
        <w:t>）。该标准归口单位为全国食品工业标准化技术委员会</w:t>
      </w:r>
      <w:r w:rsidR="006756F2">
        <w:rPr>
          <w:rFonts w:hint="eastAsia"/>
          <w:sz w:val="24"/>
        </w:rPr>
        <w:t>。</w:t>
      </w:r>
    </w:p>
    <w:p w14:paraId="60D5CF93" w14:textId="5B20D4E7" w:rsidR="00282016" w:rsidRDefault="00000000" w:rsidP="009F3261">
      <w:pPr>
        <w:spacing w:line="360" w:lineRule="auto"/>
        <w:ind w:firstLineChars="200" w:firstLine="480"/>
        <w:rPr>
          <w:sz w:val="24"/>
        </w:rPr>
      </w:pPr>
      <w:r>
        <w:rPr>
          <w:rFonts w:hint="eastAsia"/>
          <w:sz w:val="24"/>
        </w:rPr>
        <w:t>本标准的主要起草单位有</w:t>
      </w:r>
      <w:r w:rsidR="009C0BFD" w:rsidRPr="009C0BFD">
        <w:rPr>
          <w:rFonts w:hint="eastAsia"/>
          <w:sz w:val="24"/>
        </w:rPr>
        <w:t>中国标准化研究院、安徽盛美诺生物技术有限公司、仙乐健康科技股份有限公司、同仁堂健康股份有限公司、中国科学院过程工程研究所</w:t>
      </w:r>
      <w:r w:rsidR="00F32872">
        <w:rPr>
          <w:rFonts w:hint="eastAsia"/>
          <w:sz w:val="24"/>
        </w:rPr>
        <w:t>、</w:t>
      </w:r>
      <w:r w:rsidR="00F32872" w:rsidRPr="00F32872">
        <w:rPr>
          <w:rFonts w:hint="eastAsia"/>
          <w:sz w:val="24"/>
        </w:rPr>
        <w:t>完美（中国）有限公司</w:t>
      </w:r>
      <w:r w:rsidR="007B18A9" w:rsidRPr="007B18A9">
        <w:rPr>
          <w:rFonts w:hint="eastAsia"/>
          <w:sz w:val="24"/>
        </w:rPr>
        <w:t>。</w:t>
      </w:r>
    </w:p>
    <w:p w14:paraId="05892CBF" w14:textId="5A0969E6" w:rsidR="00282016" w:rsidRDefault="00000000">
      <w:pPr>
        <w:spacing w:line="360" w:lineRule="auto"/>
        <w:ind w:firstLineChars="200" w:firstLine="480"/>
        <w:rPr>
          <w:color w:val="FF0000"/>
        </w:rPr>
      </w:pPr>
      <w:r>
        <w:rPr>
          <w:sz w:val="24"/>
        </w:rPr>
        <w:t>主要起草人</w:t>
      </w:r>
      <w:r w:rsidR="00D16A7E">
        <w:rPr>
          <w:rFonts w:hint="eastAsia"/>
          <w:sz w:val="24"/>
        </w:rPr>
        <w:t>、工作单位及分工见下表</w:t>
      </w:r>
      <w:r w:rsidR="00D16A7E">
        <w:rPr>
          <w:rFonts w:hint="eastAsia"/>
          <w:sz w:val="24"/>
        </w:rPr>
        <w:t>1</w:t>
      </w:r>
      <w:r w:rsidR="00D16A7E">
        <w:rPr>
          <w:rFonts w:hint="eastAsia"/>
          <w:sz w:val="24"/>
        </w:rPr>
        <w:t>。</w:t>
      </w:r>
    </w:p>
    <w:p w14:paraId="7A8655E7" w14:textId="2FFA6C60" w:rsidR="00282016" w:rsidRDefault="00000000">
      <w:pPr>
        <w:pStyle w:val="af0"/>
        <w:ind w:firstLineChars="1200" w:firstLine="2520"/>
        <w:rPr>
          <w:rFonts w:ascii="宋体" w:eastAsia="宋体" w:hAnsi="宋体" w:hint="eastAsia"/>
          <w:sz w:val="21"/>
          <w:szCs w:val="21"/>
        </w:rPr>
      </w:pPr>
      <w:r>
        <w:rPr>
          <w:rFonts w:ascii="宋体" w:eastAsia="宋体" w:hAnsi="宋体"/>
          <w:sz w:val="21"/>
          <w:szCs w:val="21"/>
        </w:rPr>
        <w:t xml:space="preserve">表 </w:t>
      </w:r>
      <w:r>
        <w:rPr>
          <w:rFonts w:ascii="宋体" w:eastAsia="宋体" w:hAnsi="宋体"/>
          <w:sz w:val="21"/>
          <w:szCs w:val="21"/>
        </w:rPr>
        <w:fldChar w:fldCharType="begin"/>
      </w:r>
      <w:r>
        <w:rPr>
          <w:rFonts w:ascii="宋体" w:eastAsia="宋体" w:hAnsi="宋体"/>
          <w:sz w:val="21"/>
          <w:szCs w:val="21"/>
        </w:rPr>
        <w:instrText xml:space="preserve"> SEQ 表 \* ARABIC </w:instrText>
      </w:r>
      <w:r>
        <w:rPr>
          <w:rFonts w:ascii="宋体" w:eastAsia="宋体" w:hAnsi="宋体"/>
          <w:sz w:val="21"/>
          <w:szCs w:val="21"/>
        </w:rPr>
        <w:fldChar w:fldCharType="separate"/>
      </w:r>
      <w:r>
        <w:rPr>
          <w:rFonts w:ascii="宋体" w:eastAsia="宋体" w:hAnsi="宋体"/>
          <w:sz w:val="21"/>
          <w:szCs w:val="21"/>
        </w:rPr>
        <w:t>1</w:t>
      </w:r>
      <w:r>
        <w:rPr>
          <w:rFonts w:ascii="宋体" w:eastAsia="宋体" w:hAnsi="宋体"/>
          <w:sz w:val="21"/>
          <w:szCs w:val="21"/>
        </w:rPr>
        <w:fldChar w:fldCharType="end"/>
      </w:r>
      <w:r>
        <w:rPr>
          <w:rFonts w:ascii="宋体" w:eastAsia="宋体" w:hAnsi="宋体"/>
          <w:sz w:val="21"/>
          <w:szCs w:val="21"/>
        </w:rPr>
        <w:t xml:space="preserve">  </w:t>
      </w:r>
      <w:r w:rsidR="00D16A7E">
        <w:rPr>
          <w:rFonts w:ascii="宋体" w:eastAsia="宋体" w:hAnsi="宋体" w:hint="eastAsia"/>
          <w:sz w:val="21"/>
          <w:szCs w:val="21"/>
        </w:rPr>
        <w:t>标准主要起草人、工作</w:t>
      </w:r>
      <w:r>
        <w:rPr>
          <w:rFonts w:ascii="宋体" w:eastAsia="宋体" w:hAnsi="宋体"/>
          <w:sz w:val="21"/>
          <w:szCs w:val="21"/>
        </w:rPr>
        <w:t>单位及分工</w:t>
      </w:r>
    </w:p>
    <w:tbl>
      <w:tblPr>
        <w:tblStyle w:val="aff1"/>
        <w:tblW w:w="5351" w:type="pct"/>
        <w:jc w:val="center"/>
        <w:tblLook w:val="04A0" w:firstRow="1" w:lastRow="0" w:firstColumn="1" w:lastColumn="0" w:noHBand="0" w:noVBand="1"/>
      </w:tblPr>
      <w:tblGrid>
        <w:gridCol w:w="667"/>
        <w:gridCol w:w="949"/>
        <w:gridCol w:w="1911"/>
        <w:gridCol w:w="1418"/>
        <w:gridCol w:w="4182"/>
      </w:tblGrid>
      <w:tr w:rsidR="00F7042F" w14:paraId="3C8C574F" w14:textId="77777777" w:rsidTr="00F34F31">
        <w:trPr>
          <w:jc w:val="center"/>
        </w:trPr>
        <w:tc>
          <w:tcPr>
            <w:tcW w:w="365" w:type="pct"/>
            <w:vAlign w:val="center"/>
          </w:tcPr>
          <w:p w14:paraId="0E9A79CE" w14:textId="77777777" w:rsidR="00D64F5A" w:rsidRDefault="00D64F5A" w:rsidP="00F5178A">
            <w:pPr>
              <w:jc w:val="center"/>
              <w:rPr>
                <w:rFonts w:eastAsiaTheme="minorEastAsia"/>
                <w:szCs w:val="21"/>
              </w:rPr>
            </w:pPr>
            <w:r>
              <w:rPr>
                <w:rFonts w:eastAsiaTheme="minorEastAsia"/>
                <w:szCs w:val="21"/>
              </w:rPr>
              <w:t>序号</w:t>
            </w:r>
          </w:p>
        </w:tc>
        <w:tc>
          <w:tcPr>
            <w:tcW w:w="520" w:type="pct"/>
            <w:vAlign w:val="center"/>
          </w:tcPr>
          <w:p w14:paraId="573F831D" w14:textId="77777777" w:rsidR="00D64F5A" w:rsidRDefault="00D64F5A" w:rsidP="00F5178A">
            <w:pPr>
              <w:jc w:val="center"/>
              <w:rPr>
                <w:rFonts w:eastAsiaTheme="minorEastAsia"/>
                <w:szCs w:val="21"/>
              </w:rPr>
            </w:pPr>
            <w:r>
              <w:rPr>
                <w:rFonts w:eastAsiaTheme="minorEastAsia"/>
                <w:szCs w:val="21"/>
              </w:rPr>
              <w:t>姓名</w:t>
            </w:r>
          </w:p>
        </w:tc>
        <w:tc>
          <w:tcPr>
            <w:tcW w:w="1047" w:type="pct"/>
            <w:vAlign w:val="center"/>
          </w:tcPr>
          <w:p w14:paraId="3A95E0FA" w14:textId="77777777" w:rsidR="00D64F5A" w:rsidRDefault="00D64F5A" w:rsidP="00F5178A">
            <w:pPr>
              <w:jc w:val="center"/>
              <w:rPr>
                <w:rFonts w:eastAsiaTheme="minorEastAsia"/>
                <w:szCs w:val="21"/>
              </w:rPr>
            </w:pPr>
            <w:r>
              <w:rPr>
                <w:rFonts w:eastAsiaTheme="minorEastAsia"/>
                <w:szCs w:val="21"/>
              </w:rPr>
              <w:t>工作单位</w:t>
            </w:r>
          </w:p>
        </w:tc>
        <w:tc>
          <w:tcPr>
            <w:tcW w:w="777" w:type="pct"/>
            <w:vAlign w:val="center"/>
          </w:tcPr>
          <w:p w14:paraId="3A5FD4CF" w14:textId="77777777" w:rsidR="00D64F5A" w:rsidRDefault="00D64F5A" w:rsidP="00F5178A">
            <w:pPr>
              <w:jc w:val="center"/>
              <w:rPr>
                <w:rFonts w:eastAsiaTheme="minorEastAsia"/>
                <w:szCs w:val="21"/>
              </w:rPr>
            </w:pPr>
            <w:r>
              <w:rPr>
                <w:rFonts w:eastAsiaTheme="minorEastAsia"/>
                <w:szCs w:val="21"/>
              </w:rPr>
              <w:t>职称</w:t>
            </w:r>
            <w:r>
              <w:rPr>
                <w:rFonts w:eastAsiaTheme="minorEastAsia" w:hint="eastAsia"/>
                <w:szCs w:val="21"/>
              </w:rPr>
              <w:t>/</w:t>
            </w:r>
            <w:r>
              <w:rPr>
                <w:rFonts w:eastAsiaTheme="minorEastAsia" w:hint="eastAsia"/>
                <w:szCs w:val="21"/>
              </w:rPr>
              <w:t>职务</w:t>
            </w:r>
          </w:p>
        </w:tc>
        <w:tc>
          <w:tcPr>
            <w:tcW w:w="2292" w:type="pct"/>
            <w:vAlign w:val="center"/>
          </w:tcPr>
          <w:p w14:paraId="0973DA5A" w14:textId="77777777" w:rsidR="00D64F5A" w:rsidRDefault="00D64F5A" w:rsidP="00F5178A">
            <w:pPr>
              <w:jc w:val="center"/>
              <w:rPr>
                <w:rFonts w:eastAsiaTheme="minorEastAsia"/>
                <w:szCs w:val="21"/>
              </w:rPr>
            </w:pPr>
            <w:r>
              <w:rPr>
                <w:rFonts w:eastAsiaTheme="minorEastAsia"/>
                <w:szCs w:val="21"/>
              </w:rPr>
              <w:t>分工</w:t>
            </w:r>
          </w:p>
        </w:tc>
      </w:tr>
      <w:tr w:rsidR="00F34F31" w:rsidRPr="004B597D" w14:paraId="41DEDD2A" w14:textId="77777777" w:rsidTr="00F34F31">
        <w:trPr>
          <w:jc w:val="center"/>
        </w:trPr>
        <w:tc>
          <w:tcPr>
            <w:tcW w:w="365" w:type="pct"/>
            <w:vAlign w:val="center"/>
          </w:tcPr>
          <w:p w14:paraId="6EFE3668" w14:textId="325C7646" w:rsidR="00F34F31" w:rsidRPr="00F7042F" w:rsidRDefault="00F34F31" w:rsidP="00F34F31">
            <w:pPr>
              <w:pStyle w:val="a1"/>
            </w:pPr>
          </w:p>
        </w:tc>
        <w:tc>
          <w:tcPr>
            <w:tcW w:w="520" w:type="pct"/>
            <w:vAlign w:val="center"/>
          </w:tcPr>
          <w:p w14:paraId="297A2347" w14:textId="17B048C2" w:rsidR="00F34F31" w:rsidRDefault="00F34F31" w:rsidP="00F34F31">
            <w:pPr>
              <w:jc w:val="center"/>
              <w:rPr>
                <w:szCs w:val="21"/>
              </w:rPr>
            </w:pPr>
            <w:r>
              <w:rPr>
                <w:rFonts w:hint="eastAsia"/>
                <w:szCs w:val="21"/>
              </w:rPr>
              <w:t>席兴军</w:t>
            </w:r>
          </w:p>
        </w:tc>
        <w:tc>
          <w:tcPr>
            <w:tcW w:w="1047" w:type="pct"/>
            <w:vAlign w:val="center"/>
          </w:tcPr>
          <w:p w14:paraId="4DA8190F" w14:textId="26AA7318" w:rsidR="00F34F31" w:rsidRDefault="00F34F31" w:rsidP="00F34F31">
            <w:pPr>
              <w:jc w:val="center"/>
              <w:rPr>
                <w:szCs w:val="21"/>
              </w:rPr>
            </w:pPr>
            <w:r>
              <w:rPr>
                <w:rFonts w:hint="eastAsia"/>
                <w:szCs w:val="21"/>
              </w:rPr>
              <w:t>中国标准化研究院</w:t>
            </w:r>
            <w:r>
              <w:rPr>
                <w:rFonts w:hint="eastAsia"/>
                <w:szCs w:val="21"/>
              </w:rPr>
              <w:t xml:space="preserve"> </w:t>
            </w:r>
          </w:p>
        </w:tc>
        <w:tc>
          <w:tcPr>
            <w:tcW w:w="777" w:type="pct"/>
            <w:vAlign w:val="center"/>
          </w:tcPr>
          <w:p w14:paraId="6767424E" w14:textId="5E58F06D" w:rsidR="00F34F31" w:rsidRDefault="00F34F31" w:rsidP="00F34F31">
            <w:pPr>
              <w:jc w:val="center"/>
              <w:rPr>
                <w:szCs w:val="21"/>
              </w:rPr>
            </w:pPr>
            <w:r>
              <w:rPr>
                <w:rFonts w:hint="eastAsia"/>
                <w:szCs w:val="21"/>
              </w:rPr>
              <w:t>研究员</w:t>
            </w:r>
          </w:p>
        </w:tc>
        <w:tc>
          <w:tcPr>
            <w:tcW w:w="2292" w:type="pct"/>
            <w:vAlign w:val="center"/>
          </w:tcPr>
          <w:p w14:paraId="7F678825" w14:textId="4467A60D" w:rsidR="00F34F31" w:rsidRPr="00C47E5D" w:rsidRDefault="00F34F31" w:rsidP="00F34F31">
            <w:pPr>
              <w:jc w:val="center"/>
              <w:rPr>
                <w:szCs w:val="21"/>
              </w:rPr>
            </w:pPr>
            <w:r w:rsidRPr="00C47E5D">
              <w:rPr>
                <w:rFonts w:hint="eastAsia"/>
                <w:szCs w:val="21"/>
              </w:rPr>
              <w:t>标准主持起草人，负责国内外相关标准、法律、法规资料的收集，企业调研的组织实施，标准起草和编制说明的撰写、组织、协调等。</w:t>
            </w:r>
          </w:p>
        </w:tc>
      </w:tr>
      <w:tr w:rsidR="00F34F31" w14:paraId="4432EA42" w14:textId="77777777" w:rsidTr="00F34F31">
        <w:trPr>
          <w:jc w:val="center"/>
        </w:trPr>
        <w:tc>
          <w:tcPr>
            <w:tcW w:w="365" w:type="pct"/>
            <w:vAlign w:val="center"/>
          </w:tcPr>
          <w:p w14:paraId="1DD7797D" w14:textId="203227DC" w:rsidR="00F34F31" w:rsidRPr="00F7042F" w:rsidRDefault="00F34F31" w:rsidP="00F34F31">
            <w:pPr>
              <w:pStyle w:val="a1"/>
            </w:pPr>
          </w:p>
        </w:tc>
        <w:tc>
          <w:tcPr>
            <w:tcW w:w="520" w:type="pct"/>
            <w:vAlign w:val="center"/>
          </w:tcPr>
          <w:p w14:paraId="6E5C7318" w14:textId="173497AC" w:rsidR="00F34F31" w:rsidRDefault="00F34F31" w:rsidP="00F34F31">
            <w:pPr>
              <w:jc w:val="center"/>
              <w:rPr>
                <w:szCs w:val="21"/>
              </w:rPr>
            </w:pPr>
            <w:r>
              <w:rPr>
                <w:rFonts w:hint="eastAsia"/>
                <w:szCs w:val="21"/>
              </w:rPr>
              <w:t>王海燕</w:t>
            </w:r>
          </w:p>
        </w:tc>
        <w:tc>
          <w:tcPr>
            <w:tcW w:w="1047" w:type="pct"/>
            <w:vAlign w:val="center"/>
          </w:tcPr>
          <w:p w14:paraId="6BB852E2" w14:textId="646861B5" w:rsidR="00F34F31" w:rsidRDefault="00F34F31" w:rsidP="00F34F31">
            <w:pPr>
              <w:jc w:val="center"/>
              <w:rPr>
                <w:szCs w:val="21"/>
              </w:rPr>
            </w:pPr>
            <w:r>
              <w:rPr>
                <w:rFonts w:hint="eastAsia"/>
                <w:szCs w:val="21"/>
              </w:rPr>
              <w:t>安徽盛美诺生物技术有限公司</w:t>
            </w:r>
          </w:p>
        </w:tc>
        <w:tc>
          <w:tcPr>
            <w:tcW w:w="777" w:type="pct"/>
            <w:vAlign w:val="center"/>
          </w:tcPr>
          <w:p w14:paraId="41A40024" w14:textId="4F06EF7F" w:rsidR="00F34F31" w:rsidRDefault="00F34F31" w:rsidP="00F34F31">
            <w:pPr>
              <w:jc w:val="center"/>
              <w:rPr>
                <w:szCs w:val="21"/>
              </w:rPr>
            </w:pPr>
            <w:r>
              <w:rPr>
                <w:rFonts w:hint="eastAsia"/>
                <w:szCs w:val="21"/>
              </w:rPr>
              <w:t>正高级工程师</w:t>
            </w:r>
            <w:r>
              <w:rPr>
                <w:rFonts w:hint="eastAsia"/>
                <w:szCs w:val="21"/>
              </w:rPr>
              <w:t>/</w:t>
            </w:r>
            <w:r>
              <w:rPr>
                <w:rFonts w:hint="eastAsia"/>
                <w:szCs w:val="21"/>
              </w:rPr>
              <w:t>副总经理</w:t>
            </w:r>
          </w:p>
        </w:tc>
        <w:tc>
          <w:tcPr>
            <w:tcW w:w="2292" w:type="pct"/>
            <w:vAlign w:val="center"/>
          </w:tcPr>
          <w:p w14:paraId="4BA641B0" w14:textId="7FC1129C" w:rsidR="00F34F31" w:rsidRPr="00C47E5D" w:rsidRDefault="00C47E5D" w:rsidP="00F34F31">
            <w:pPr>
              <w:jc w:val="center"/>
              <w:rPr>
                <w:szCs w:val="21"/>
              </w:rPr>
            </w:pPr>
            <w:r w:rsidRPr="00C47E5D">
              <w:rPr>
                <w:rFonts w:hint="eastAsia"/>
                <w:szCs w:val="21"/>
              </w:rPr>
              <w:t>标准主要起草人，</w:t>
            </w:r>
            <w:r w:rsidRPr="00C47E5D">
              <w:rPr>
                <w:rFonts w:hint="eastAsia"/>
                <w:color w:val="000000" w:themeColor="text1"/>
                <w:szCs w:val="21"/>
              </w:rPr>
              <w:t>参与标准草案讨论、参与企业调研，负责试验方法的研究与开发等。</w:t>
            </w:r>
          </w:p>
        </w:tc>
      </w:tr>
      <w:tr w:rsidR="00F34F31" w14:paraId="276FAC1C" w14:textId="77777777" w:rsidTr="00F34F31">
        <w:trPr>
          <w:jc w:val="center"/>
        </w:trPr>
        <w:tc>
          <w:tcPr>
            <w:tcW w:w="365" w:type="pct"/>
            <w:vAlign w:val="center"/>
          </w:tcPr>
          <w:p w14:paraId="7051C056" w14:textId="3F2FE0E3" w:rsidR="00F34F31" w:rsidRPr="00F7042F" w:rsidRDefault="00F34F31" w:rsidP="00F34F31">
            <w:pPr>
              <w:pStyle w:val="a1"/>
            </w:pPr>
          </w:p>
        </w:tc>
        <w:tc>
          <w:tcPr>
            <w:tcW w:w="520" w:type="pct"/>
            <w:vAlign w:val="center"/>
          </w:tcPr>
          <w:p w14:paraId="0B4CA5B2" w14:textId="74194A35" w:rsidR="00F34F31" w:rsidRDefault="00F34F31" w:rsidP="00F34F31">
            <w:pPr>
              <w:jc w:val="center"/>
              <w:rPr>
                <w:szCs w:val="21"/>
              </w:rPr>
            </w:pPr>
            <w:r>
              <w:rPr>
                <w:rFonts w:hint="eastAsia"/>
                <w:szCs w:val="21"/>
              </w:rPr>
              <w:t>张贵锋</w:t>
            </w:r>
          </w:p>
        </w:tc>
        <w:tc>
          <w:tcPr>
            <w:tcW w:w="1047" w:type="pct"/>
            <w:vAlign w:val="center"/>
          </w:tcPr>
          <w:p w14:paraId="167D5A49" w14:textId="156A935C" w:rsidR="00F34F31" w:rsidRDefault="00F34F31" w:rsidP="00F34F31">
            <w:pPr>
              <w:jc w:val="center"/>
              <w:rPr>
                <w:szCs w:val="21"/>
              </w:rPr>
            </w:pPr>
            <w:r>
              <w:rPr>
                <w:rFonts w:hint="eastAsia"/>
                <w:szCs w:val="21"/>
              </w:rPr>
              <w:t>中国科学院过程工程研究所</w:t>
            </w:r>
          </w:p>
        </w:tc>
        <w:tc>
          <w:tcPr>
            <w:tcW w:w="777" w:type="pct"/>
            <w:vAlign w:val="center"/>
          </w:tcPr>
          <w:p w14:paraId="4E8B4CCD" w14:textId="0F9E5264" w:rsidR="00F34F31" w:rsidRDefault="00F34F31" w:rsidP="00F34F31">
            <w:pPr>
              <w:jc w:val="center"/>
              <w:rPr>
                <w:szCs w:val="21"/>
              </w:rPr>
            </w:pPr>
            <w:r>
              <w:rPr>
                <w:rFonts w:hint="eastAsia"/>
                <w:szCs w:val="21"/>
              </w:rPr>
              <w:t>研究员</w:t>
            </w:r>
          </w:p>
        </w:tc>
        <w:tc>
          <w:tcPr>
            <w:tcW w:w="2292" w:type="pct"/>
            <w:vAlign w:val="center"/>
          </w:tcPr>
          <w:p w14:paraId="510E2A0A" w14:textId="5D27AABB" w:rsidR="00F34F31" w:rsidRPr="00C47E5D" w:rsidRDefault="00937ED1" w:rsidP="00F34F31">
            <w:pPr>
              <w:jc w:val="center"/>
              <w:rPr>
                <w:szCs w:val="21"/>
              </w:rPr>
            </w:pPr>
            <w:r w:rsidRPr="00C47E5D">
              <w:rPr>
                <w:rFonts w:hint="eastAsia"/>
                <w:szCs w:val="21"/>
              </w:rPr>
              <w:t>标准主要起草人，负责</w:t>
            </w:r>
            <w:r w:rsidRPr="00C47E5D">
              <w:rPr>
                <w:rFonts w:hint="eastAsia"/>
                <w:color w:val="000000" w:themeColor="text1"/>
                <w:szCs w:val="21"/>
              </w:rPr>
              <w:t>国内外相关标准资料的收集、</w:t>
            </w:r>
            <w:r w:rsidR="00F34F31" w:rsidRPr="00C47E5D">
              <w:rPr>
                <w:rFonts w:hint="eastAsia"/>
                <w:color w:val="000000" w:themeColor="text1"/>
                <w:szCs w:val="21"/>
              </w:rPr>
              <w:t>参与标准草案讨论</w:t>
            </w:r>
            <w:r w:rsidRPr="00C47E5D">
              <w:rPr>
                <w:rFonts w:hint="eastAsia"/>
                <w:color w:val="000000" w:themeColor="text1"/>
                <w:szCs w:val="21"/>
              </w:rPr>
              <w:t>、参与企业调研</w:t>
            </w:r>
            <w:r w:rsidR="00F34F31" w:rsidRPr="00C47E5D">
              <w:rPr>
                <w:rFonts w:hint="eastAsia"/>
                <w:color w:val="000000" w:themeColor="text1"/>
                <w:szCs w:val="21"/>
              </w:rPr>
              <w:t>等。</w:t>
            </w:r>
          </w:p>
        </w:tc>
      </w:tr>
      <w:tr w:rsidR="00F34F31" w14:paraId="30B14862" w14:textId="77777777" w:rsidTr="00F34F31">
        <w:trPr>
          <w:jc w:val="center"/>
        </w:trPr>
        <w:tc>
          <w:tcPr>
            <w:tcW w:w="365" w:type="pct"/>
            <w:vAlign w:val="center"/>
          </w:tcPr>
          <w:p w14:paraId="022A65EC" w14:textId="2AD3469F" w:rsidR="00F34F31" w:rsidRPr="00F7042F" w:rsidRDefault="00F34F31" w:rsidP="00F34F31">
            <w:pPr>
              <w:pStyle w:val="a1"/>
            </w:pPr>
          </w:p>
        </w:tc>
        <w:tc>
          <w:tcPr>
            <w:tcW w:w="520" w:type="pct"/>
            <w:vAlign w:val="center"/>
          </w:tcPr>
          <w:p w14:paraId="2F94C79B" w14:textId="66E3E4C9" w:rsidR="00F34F31" w:rsidRDefault="00F34F31" w:rsidP="00F34F31">
            <w:pPr>
              <w:jc w:val="center"/>
              <w:rPr>
                <w:szCs w:val="21"/>
              </w:rPr>
            </w:pPr>
            <w:r>
              <w:rPr>
                <w:rFonts w:hint="eastAsia"/>
                <w:szCs w:val="21"/>
              </w:rPr>
              <w:t>张宏</w:t>
            </w:r>
          </w:p>
        </w:tc>
        <w:tc>
          <w:tcPr>
            <w:tcW w:w="1047" w:type="pct"/>
            <w:vAlign w:val="center"/>
          </w:tcPr>
          <w:p w14:paraId="79BA59FA" w14:textId="0384CFED" w:rsidR="00F34F31" w:rsidRDefault="00F34F31" w:rsidP="00F34F31">
            <w:pPr>
              <w:jc w:val="center"/>
              <w:rPr>
                <w:szCs w:val="21"/>
              </w:rPr>
            </w:pPr>
            <w:r>
              <w:rPr>
                <w:rFonts w:hint="eastAsia"/>
                <w:szCs w:val="21"/>
              </w:rPr>
              <w:t>同仁堂健康股份有限公司</w:t>
            </w:r>
          </w:p>
        </w:tc>
        <w:tc>
          <w:tcPr>
            <w:tcW w:w="777" w:type="pct"/>
            <w:vAlign w:val="center"/>
          </w:tcPr>
          <w:p w14:paraId="073A3D8E" w14:textId="760AE40D" w:rsidR="00F34F31" w:rsidRDefault="00F34F31" w:rsidP="00F34F31">
            <w:pPr>
              <w:jc w:val="center"/>
              <w:rPr>
                <w:szCs w:val="21"/>
              </w:rPr>
            </w:pPr>
            <w:r>
              <w:rPr>
                <w:rFonts w:hint="eastAsia"/>
                <w:szCs w:val="21"/>
              </w:rPr>
              <w:t>正高级工程师</w:t>
            </w:r>
            <w:r>
              <w:rPr>
                <w:rFonts w:hint="eastAsia"/>
                <w:szCs w:val="21"/>
              </w:rPr>
              <w:t>/</w:t>
            </w:r>
            <w:r>
              <w:rPr>
                <w:rFonts w:hint="eastAsia"/>
                <w:szCs w:val="21"/>
              </w:rPr>
              <w:t>副总经理</w:t>
            </w:r>
          </w:p>
        </w:tc>
        <w:tc>
          <w:tcPr>
            <w:tcW w:w="2292" w:type="pct"/>
            <w:vAlign w:val="center"/>
          </w:tcPr>
          <w:p w14:paraId="605825DC" w14:textId="50262446" w:rsidR="00F34F31" w:rsidRPr="00C47E5D" w:rsidRDefault="00C47E5D" w:rsidP="00F34F31">
            <w:pPr>
              <w:jc w:val="center"/>
              <w:rPr>
                <w:szCs w:val="21"/>
              </w:rPr>
            </w:pPr>
            <w:r w:rsidRPr="00C47E5D">
              <w:rPr>
                <w:rFonts w:hint="eastAsia"/>
                <w:szCs w:val="21"/>
              </w:rPr>
              <w:t>标准主要起草人，</w:t>
            </w:r>
            <w:r w:rsidRPr="00C47E5D">
              <w:rPr>
                <w:rFonts w:hint="eastAsia"/>
                <w:color w:val="000000" w:themeColor="text1"/>
                <w:szCs w:val="21"/>
              </w:rPr>
              <w:t>参与标准草案讨论、参与企业调研，负责试验方法的研究与开发等。</w:t>
            </w:r>
          </w:p>
        </w:tc>
      </w:tr>
      <w:tr w:rsidR="00F34F31" w14:paraId="35E96FCE" w14:textId="77777777" w:rsidTr="00F34F31">
        <w:trPr>
          <w:jc w:val="center"/>
        </w:trPr>
        <w:tc>
          <w:tcPr>
            <w:tcW w:w="365" w:type="pct"/>
            <w:vAlign w:val="center"/>
          </w:tcPr>
          <w:p w14:paraId="13DC9BE7" w14:textId="3D69F7FB" w:rsidR="00F34F31" w:rsidRPr="00F7042F" w:rsidRDefault="00F34F31" w:rsidP="00F34F31">
            <w:pPr>
              <w:pStyle w:val="a1"/>
            </w:pPr>
          </w:p>
        </w:tc>
        <w:tc>
          <w:tcPr>
            <w:tcW w:w="520" w:type="pct"/>
            <w:vAlign w:val="center"/>
          </w:tcPr>
          <w:p w14:paraId="11559D8D" w14:textId="1BB5A2DA" w:rsidR="00F34F31" w:rsidRDefault="00F34F31" w:rsidP="00F34F31">
            <w:pPr>
              <w:jc w:val="center"/>
              <w:rPr>
                <w:szCs w:val="21"/>
              </w:rPr>
            </w:pPr>
            <w:r>
              <w:rPr>
                <w:rFonts w:hint="eastAsia"/>
                <w:szCs w:val="21"/>
              </w:rPr>
              <w:t>黄盼</w:t>
            </w:r>
          </w:p>
        </w:tc>
        <w:tc>
          <w:tcPr>
            <w:tcW w:w="1047" w:type="pct"/>
            <w:vAlign w:val="center"/>
          </w:tcPr>
          <w:p w14:paraId="1C89D948" w14:textId="715E328A" w:rsidR="00F34F31" w:rsidRDefault="00F34F31" w:rsidP="00F34F31">
            <w:pPr>
              <w:jc w:val="center"/>
              <w:rPr>
                <w:szCs w:val="21"/>
              </w:rPr>
            </w:pPr>
            <w:r>
              <w:rPr>
                <w:rFonts w:hint="eastAsia"/>
                <w:szCs w:val="21"/>
              </w:rPr>
              <w:t>仙乐健康科技股份有限公司</w:t>
            </w:r>
          </w:p>
        </w:tc>
        <w:tc>
          <w:tcPr>
            <w:tcW w:w="777" w:type="pct"/>
            <w:vAlign w:val="center"/>
          </w:tcPr>
          <w:p w14:paraId="04135DDF" w14:textId="4E85758B" w:rsidR="00F34F31" w:rsidRDefault="00F34F31" w:rsidP="00F34F31">
            <w:pPr>
              <w:jc w:val="center"/>
              <w:rPr>
                <w:szCs w:val="21"/>
              </w:rPr>
            </w:pPr>
            <w:r>
              <w:rPr>
                <w:rFonts w:hint="eastAsia"/>
                <w:szCs w:val="21"/>
              </w:rPr>
              <w:t>工程师</w:t>
            </w:r>
            <w:r>
              <w:rPr>
                <w:rFonts w:hint="eastAsia"/>
                <w:szCs w:val="21"/>
              </w:rPr>
              <w:t>/</w:t>
            </w:r>
            <w:r>
              <w:rPr>
                <w:rFonts w:hint="eastAsia"/>
                <w:szCs w:val="21"/>
              </w:rPr>
              <w:t>法规部负责人</w:t>
            </w:r>
          </w:p>
        </w:tc>
        <w:tc>
          <w:tcPr>
            <w:tcW w:w="2292" w:type="pct"/>
            <w:vAlign w:val="center"/>
          </w:tcPr>
          <w:p w14:paraId="7604EC48" w14:textId="7F9C941F" w:rsidR="00F34F31" w:rsidRPr="00C47E5D" w:rsidRDefault="00C47E5D" w:rsidP="00F34F31">
            <w:pPr>
              <w:jc w:val="center"/>
              <w:rPr>
                <w:szCs w:val="21"/>
              </w:rPr>
            </w:pPr>
            <w:r w:rsidRPr="00C47E5D">
              <w:rPr>
                <w:rFonts w:hint="eastAsia"/>
                <w:szCs w:val="21"/>
              </w:rPr>
              <w:t>标准主要起草人，</w:t>
            </w:r>
            <w:r w:rsidRPr="00C47E5D">
              <w:rPr>
                <w:rFonts w:hint="eastAsia"/>
                <w:color w:val="000000" w:themeColor="text1"/>
                <w:szCs w:val="21"/>
              </w:rPr>
              <w:t>参与标准草案讨论、参与企业调研，负责试验方法的研究与开发等。</w:t>
            </w:r>
          </w:p>
        </w:tc>
      </w:tr>
      <w:tr w:rsidR="00142E77" w14:paraId="4B052867" w14:textId="77777777" w:rsidTr="00F34F31">
        <w:trPr>
          <w:jc w:val="center"/>
        </w:trPr>
        <w:tc>
          <w:tcPr>
            <w:tcW w:w="365" w:type="pct"/>
            <w:vAlign w:val="center"/>
          </w:tcPr>
          <w:p w14:paraId="62F1E255" w14:textId="77777777" w:rsidR="00142E77" w:rsidRPr="00F7042F" w:rsidRDefault="00142E77" w:rsidP="00F34F31">
            <w:pPr>
              <w:pStyle w:val="a1"/>
            </w:pPr>
          </w:p>
        </w:tc>
        <w:tc>
          <w:tcPr>
            <w:tcW w:w="520" w:type="pct"/>
            <w:vAlign w:val="center"/>
          </w:tcPr>
          <w:p w14:paraId="7484C0E6" w14:textId="337924C9" w:rsidR="00142E77" w:rsidRDefault="00142E77" w:rsidP="00F34F31">
            <w:pPr>
              <w:jc w:val="center"/>
              <w:rPr>
                <w:szCs w:val="21"/>
              </w:rPr>
            </w:pPr>
            <w:r>
              <w:rPr>
                <w:rFonts w:hint="eastAsia"/>
                <w:szCs w:val="21"/>
              </w:rPr>
              <w:t>李艳</w:t>
            </w:r>
          </w:p>
        </w:tc>
        <w:tc>
          <w:tcPr>
            <w:tcW w:w="1047" w:type="pct"/>
            <w:vAlign w:val="center"/>
          </w:tcPr>
          <w:p w14:paraId="23E93895" w14:textId="1CB65D1F" w:rsidR="00142E77" w:rsidRDefault="00142E77" w:rsidP="00F34F31">
            <w:pPr>
              <w:jc w:val="center"/>
              <w:rPr>
                <w:szCs w:val="21"/>
              </w:rPr>
            </w:pPr>
            <w:r>
              <w:rPr>
                <w:rFonts w:hint="eastAsia"/>
                <w:szCs w:val="21"/>
              </w:rPr>
              <w:t>完美（中国）有限公司</w:t>
            </w:r>
          </w:p>
        </w:tc>
        <w:tc>
          <w:tcPr>
            <w:tcW w:w="777" w:type="pct"/>
            <w:vAlign w:val="center"/>
          </w:tcPr>
          <w:p w14:paraId="452C7DE0" w14:textId="6ABE319F" w:rsidR="00142E77" w:rsidRDefault="00142E77" w:rsidP="00F34F31">
            <w:pPr>
              <w:jc w:val="center"/>
              <w:rPr>
                <w:szCs w:val="21"/>
              </w:rPr>
            </w:pPr>
            <w:r>
              <w:rPr>
                <w:rFonts w:hint="eastAsia"/>
                <w:szCs w:val="21"/>
              </w:rPr>
              <w:t>法规部经理</w:t>
            </w:r>
          </w:p>
        </w:tc>
        <w:tc>
          <w:tcPr>
            <w:tcW w:w="2292" w:type="pct"/>
            <w:vAlign w:val="center"/>
          </w:tcPr>
          <w:p w14:paraId="56E5DABB" w14:textId="3385130E" w:rsidR="00142E77" w:rsidRPr="00C47E5D" w:rsidRDefault="00142E77" w:rsidP="00F34F31">
            <w:pPr>
              <w:jc w:val="center"/>
              <w:rPr>
                <w:szCs w:val="21"/>
              </w:rPr>
            </w:pPr>
            <w:r w:rsidRPr="00C47E5D">
              <w:rPr>
                <w:rFonts w:hint="eastAsia"/>
                <w:color w:val="000000" w:themeColor="text1"/>
                <w:szCs w:val="21"/>
              </w:rPr>
              <w:t>参与标准草案讨论、参与企业调研等。</w:t>
            </w:r>
          </w:p>
        </w:tc>
      </w:tr>
      <w:tr w:rsidR="00F34F31" w14:paraId="7896159B" w14:textId="77777777" w:rsidTr="00F34F31">
        <w:trPr>
          <w:jc w:val="center"/>
        </w:trPr>
        <w:tc>
          <w:tcPr>
            <w:tcW w:w="365" w:type="pct"/>
            <w:vAlign w:val="center"/>
          </w:tcPr>
          <w:p w14:paraId="5773102B" w14:textId="255B29A2" w:rsidR="00F34F31" w:rsidRPr="00F7042F" w:rsidRDefault="00F34F31" w:rsidP="00F34F31">
            <w:pPr>
              <w:pStyle w:val="a1"/>
            </w:pPr>
          </w:p>
        </w:tc>
        <w:tc>
          <w:tcPr>
            <w:tcW w:w="520" w:type="pct"/>
            <w:vAlign w:val="center"/>
          </w:tcPr>
          <w:p w14:paraId="744035C2" w14:textId="6F2E6998" w:rsidR="00F34F31" w:rsidRDefault="00F34F31" w:rsidP="00F34F31">
            <w:pPr>
              <w:jc w:val="center"/>
              <w:rPr>
                <w:szCs w:val="21"/>
              </w:rPr>
            </w:pPr>
            <w:r>
              <w:rPr>
                <w:rFonts w:hint="eastAsia"/>
                <w:szCs w:val="21"/>
              </w:rPr>
              <w:t>查圣华</w:t>
            </w:r>
          </w:p>
        </w:tc>
        <w:tc>
          <w:tcPr>
            <w:tcW w:w="1047" w:type="pct"/>
            <w:vAlign w:val="center"/>
          </w:tcPr>
          <w:p w14:paraId="5E5B4225" w14:textId="29152597" w:rsidR="00F34F31" w:rsidRDefault="00F34F31" w:rsidP="00F34F31">
            <w:pPr>
              <w:jc w:val="center"/>
              <w:rPr>
                <w:szCs w:val="21"/>
              </w:rPr>
            </w:pPr>
            <w:r>
              <w:rPr>
                <w:rFonts w:hint="eastAsia"/>
                <w:szCs w:val="21"/>
              </w:rPr>
              <w:t>同仁堂健康股份有限公司</w:t>
            </w:r>
          </w:p>
        </w:tc>
        <w:tc>
          <w:tcPr>
            <w:tcW w:w="777" w:type="pct"/>
            <w:vAlign w:val="center"/>
          </w:tcPr>
          <w:p w14:paraId="60C8CBF2" w14:textId="2A432D5A" w:rsidR="00F34F31" w:rsidRDefault="00F34F31" w:rsidP="00F34F31">
            <w:pPr>
              <w:jc w:val="center"/>
              <w:rPr>
                <w:szCs w:val="21"/>
              </w:rPr>
            </w:pPr>
            <w:r>
              <w:rPr>
                <w:rFonts w:hint="eastAsia"/>
                <w:szCs w:val="21"/>
              </w:rPr>
              <w:t>正高级工程师</w:t>
            </w:r>
            <w:r>
              <w:rPr>
                <w:rFonts w:hint="eastAsia"/>
                <w:szCs w:val="21"/>
              </w:rPr>
              <w:t>/</w:t>
            </w:r>
            <w:r>
              <w:rPr>
                <w:rFonts w:hint="eastAsia"/>
                <w:szCs w:val="21"/>
              </w:rPr>
              <w:t>研发总监</w:t>
            </w:r>
          </w:p>
        </w:tc>
        <w:tc>
          <w:tcPr>
            <w:tcW w:w="2292" w:type="pct"/>
            <w:vAlign w:val="center"/>
          </w:tcPr>
          <w:p w14:paraId="1244E872" w14:textId="06DA6540" w:rsidR="00F34F31" w:rsidRPr="00C47E5D" w:rsidRDefault="00142E77" w:rsidP="00F34F31">
            <w:pPr>
              <w:jc w:val="center"/>
              <w:rPr>
                <w:szCs w:val="21"/>
              </w:rPr>
            </w:pPr>
            <w:r w:rsidRPr="00C47E5D">
              <w:rPr>
                <w:rFonts w:hint="eastAsia"/>
                <w:color w:val="000000" w:themeColor="text1"/>
                <w:szCs w:val="21"/>
              </w:rPr>
              <w:t>参与标准草案讨论、参与企业调研等。</w:t>
            </w:r>
          </w:p>
        </w:tc>
      </w:tr>
      <w:tr w:rsidR="00F34F31" w14:paraId="44BD7CEA" w14:textId="77777777" w:rsidTr="00F34F31">
        <w:trPr>
          <w:jc w:val="center"/>
        </w:trPr>
        <w:tc>
          <w:tcPr>
            <w:tcW w:w="365" w:type="pct"/>
            <w:vAlign w:val="center"/>
          </w:tcPr>
          <w:p w14:paraId="30C7E45B" w14:textId="3558F056" w:rsidR="00F34F31" w:rsidRPr="00F7042F" w:rsidRDefault="00F34F31" w:rsidP="00F34F31">
            <w:pPr>
              <w:pStyle w:val="a1"/>
            </w:pPr>
          </w:p>
        </w:tc>
        <w:tc>
          <w:tcPr>
            <w:tcW w:w="520" w:type="pct"/>
            <w:vAlign w:val="center"/>
          </w:tcPr>
          <w:p w14:paraId="7F903313" w14:textId="1261EBBD" w:rsidR="00F34F31" w:rsidRDefault="00F34F31" w:rsidP="00F34F31">
            <w:pPr>
              <w:jc w:val="center"/>
              <w:rPr>
                <w:szCs w:val="21"/>
              </w:rPr>
            </w:pPr>
            <w:r>
              <w:rPr>
                <w:rFonts w:hint="eastAsia"/>
                <w:szCs w:val="21"/>
              </w:rPr>
              <w:t>黄树楷</w:t>
            </w:r>
          </w:p>
        </w:tc>
        <w:tc>
          <w:tcPr>
            <w:tcW w:w="1047" w:type="pct"/>
            <w:vAlign w:val="center"/>
          </w:tcPr>
          <w:p w14:paraId="5A044CB2" w14:textId="200C8C91" w:rsidR="00F34F31" w:rsidRDefault="00F34F31" w:rsidP="00F34F31">
            <w:pPr>
              <w:jc w:val="center"/>
              <w:rPr>
                <w:szCs w:val="21"/>
              </w:rPr>
            </w:pPr>
            <w:r>
              <w:rPr>
                <w:rFonts w:hint="eastAsia"/>
                <w:szCs w:val="21"/>
              </w:rPr>
              <w:t>仙乐健康科技股份有限公司</w:t>
            </w:r>
            <w:r>
              <w:rPr>
                <w:rFonts w:hint="eastAsia"/>
                <w:szCs w:val="21"/>
              </w:rPr>
              <w:t xml:space="preserve"> </w:t>
            </w:r>
          </w:p>
        </w:tc>
        <w:tc>
          <w:tcPr>
            <w:tcW w:w="777" w:type="pct"/>
            <w:vAlign w:val="center"/>
          </w:tcPr>
          <w:p w14:paraId="681FCF64" w14:textId="781AFDED" w:rsidR="00F34F31" w:rsidRDefault="00F34F31" w:rsidP="00F34F31">
            <w:pPr>
              <w:jc w:val="center"/>
              <w:rPr>
                <w:szCs w:val="21"/>
              </w:rPr>
            </w:pPr>
            <w:r>
              <w:rPr>
                <w:rFonts w:hint="eastAsia"/>
                <w:szCs w:val="21"/>
              </w:rPr>
              <w:t>主管</w:t>
            </w:r>
          </w:p>
        </w:tc>
        <w:tc>
          <w:tcPr>
            <w:tcW w:w="2292" w:type="pct"/>
            <w:vAlign w:val="center"/>
          </w:tcPr>
          <w:p w14:paraId="27640FC3" w14:textId="011AF017" w:rsidR="00F34F31" w:rsidRPr="00C47E5D" w:rsidRDefault="00C47E5D" w:rsidP="00F34F31">
            <w:pPr>
              <w:jc w:val="center"/>
              <w:rPr>
                <w:szCs w:val="21"/>
              </w:rPr>
            </w:pPr>
            <w:r w:rsidRPr="00C47E5D">
              <w:rPr>
                <w:rFonts w:hint="eastAsia"/>
                <w:color w:val="000000" w:themeColor="text1"/>
                <w:szCs w:val="21"/>
              </w:rPr>
              <w:t>参与标准草案讨论、参与企业调研等。</w:t>
            </w:r>
          </w:p>
        </w:tc>
      </w:tr>
    </w:tbl>
    <w:p w14:paraId="346DE504" w14:textId="77777777" w:rsidR="00282016" w:rsidRDefault="00000000">
      <w:pPr>
        <w:pStyle w:val="2"/>
        <w:rPr>
          <w:rFonts w:ascii="Times New Roman" w:hAnsi="Times New Roman"/>
        </w:rPr>
      </w:pPr>
      <w:bookmarkStart w:id="4" w:name="_Toc176255766"/>
      <w:r>
        <w:rPr>
          <w:rFonts w:ascii="Times New Roman" w:hAnsi="Times New Roman"/>
        </w:rPr>
        <w:lastRenderedPageBreak/>
        <w:t xml:space="preserve">2. </w:t>
      </w:r>
      <w:r>
        <w:rPr>
          <w:rFonts w:ascii="Times New Roman" w:hAnsi="Times New Roman"/>
        </w:rPr>
        <w:t>制定背景</w:t>
      </w:r>
      <w:bookmarkEnd w:id="4"/>
    </w:p>
    <w:p w14:paraId="76F79348" w14:textId="5103A38E" w:rsidR="00282016" w:rsidRDefault="00000000">
      <w:pPr>
        <w:pStyle w:val="3"/>
      </w:pPr>
      <w:bookmarkStart w:id="5" w:name="_Toc172793107"/>
      <w:bookmarkStart w:id="6" w:name="_Toc176255767"/>
      <w:r>
        <w:t xml:space="preserve">2.1 </w:t>
      </w:r>
      <w:bookmarkEnd w:id="5"/>
      <w:r w:rsidR="007475D9">
        <w:rPr>
          <w:rFonts w:hint="eastAsia"/>
        </w:rPr>
        <w:t>产业现状</w:t>
      </w:r>
      <w:bookmarkEnd w:id="6"/>
    </w:p>
    <w:p w14:paraId="51B14FDC" w14:textId="77777777" w:rsidR="007475D9" w:rsidRPr="007475D9" w:rsidRDefault="007475D9" w:rsidP="007475D9">
      <w:pPr>
        <w:spacing w:line="360" w:lineRule="auto"/>
        <w:ind w:firstLineChars="200" w:firstLine="480"/>
        <w:rPr>
          <w:sz w:val="24"/>
        </w:rPr>
      </w:pPr>
      <w:r w:rsidRPr="007475D9">
        <w:rPr>
          <w:rFonts w:hint="eastAsia"/>
          <w:sz w:val="24"/>
        </w:rPr>
        <w:t>关节炎是世界头号致残性疾病，据统计全世界关节炎患者有</w:t>
      </w:r>
      <w:r w:rsidRPr="007475D9">
        <w:rPr>
          <w:rFonts w:hint="eastAsia"/>
          <w:sz w:val="24"/>
        </w:rPr>
        <w:t>3.55</w:t>
      </w:r>
      <w:r w:rsidRPr="007475D9">
        <w:rPr>
          <w:rFonts w:hint="eastAsia"/>
          <w:sz w:val="24"/>
        </w:rPr>
        <w:t>亿人。为引起社会各界关注关节炎，世界卫生组织把每年的</w:t>
      </w:r>
      <w:r w:rsidRPr="007475D9">
        <w:rPr>
          <w:rFonts w:hint="eastAsia"/>
          <w:sz w:val="24"/>
        </w:rPr>
        <w:t>10</w:t>
      </w:r>
      <w:r w:rsidRPr="007475D9">
        <w:rPr>
          <w:rFonts w:hint="eastAsia"/>
          <w:sz w:val="24"/>
        </w:rPr>
        <w:t>月</w:t>
      </w:r>
      <w:r w:rsidRPr="007475D9">
        <w:rPr>
          <w:rFonts w:hint="eastAsia"/>
          <w:sz w:val="24"/>
        </w:rPr>
        <w:t>12</w:t>
      </w:r>
      <w:r w:rsidRPr="007475D9">
        <w:rPr>
          <w:rFonts w:hint="eastAsia"/>
          <w:sz w:val="24"/>
        </w:rPr>
        <w:t>日定为“国际关节炎日”，用于提醒人们对关节炎要早预防、早诊断、早治疗，防止致残。</w:t>
      </w:r>
    </w:p>
    <w:p w14:paraId="1A518E0E" w14:textId="77777777" w:rsidR="007475D9" w:rsidRPr="007475D9" w:rsidRDefault="007475D9" w:rsidP="007475D9">
      <w:pPr>
        <w:spacing w:line="360" w:lineRule="auto"/>
        <w:ind w:firstLineChars="200" w:firstLine="480"/>
        <w:rPr>
          <w:sz w:val="24"/>
        </w:rPr>
      </w:pPr>
      <w:r w:rsidRPr="007475D9">
        <w:rPr>
          <w:rFonts w:hint="eastAsia"/>
          <w:sz w:val="24"/>
        </w:rPr>
        <w:t>近</w:t>
      </w:r>
      <w:r w:rsidRPr="007475D9">
        <w:rPr>
          <w:rFonts w:hint="eastAsia"/>
          <w:sz w:val="24"/>
        </w:rPr>
        <w:t>20</w:t>
      </w:r>
      <w:r w:rsidRPr="007475D9">
        <w:rPr>
          <w:rFonts w:hint="eastAsia"/>
          <w:sz w:val="24"/>
        </w:rPr>
        <w:t>年我国关节疾病的发病人数不断攀升，骨关节炎是其中最常见的一种关节疾病。截止</w:t>
      </w:r>
      <w:r w:rsidRPr="007475D9">
        <w:rPr>
          <w:rFonts w:hint="eastAsia"/>
          <w:sz w:val="24"/>
        </w:rPr>
        <w:t>2015</w:t>
      </w:r>
      <w:r w:rsidRPr="007475D9">
        <w:rPr>
          <w:rFonts w:hint="eastAsia"/>
          <w:sz w:val="24"/>
        </w:rPr>
        <w:t>年统计，中国大陆的关节炎患者有</w:t>
      </w:r>
      <w:r w:rsidRPr="007475D9">
        <w:rPr>
          <w:rFonts w:hint="eastAsia"/>
          <w:sz w:val="24"/>
        </w:rPr>
        <w:t>1.2</w:t>
      </w:r>
      <w:r w:rsidRPr="007475D9">
        <w:rPr>
          <w:rFonts w:hint="eastAsia"/>
          <w:sz w:val="24"/>
        </w:rPr>
        <w:t>亿人，发病率约为</w:t>
      </w:r>
      <w:r w:rsidRPr="007475D9">
        <w:rPr>
          <w:rFonts w:hint="eastAsia"/>
          <w:sz w:val="24"/>
        </w:rPr>
        <w:t>13%</w:t>
      </w:r>
      <w:r w:rsidRPr="007475D9">
        <w:rPr>
          <w:rFonts w:hint="eastAsia"/>
          <w:sz w:val="24"/>
        </w:rPr>
        <w:t>，平均每</w:t>
      </w:r>
      <w:r w:rsidRPr="007475D9">
        <w:rPr>
          <w:rFonts w:hint="eastAsia"/>
          <w:sz w:val="24"/>
        </w:rPr>
        <w:t>10</w:t>
      </w:r>
      <w:r w:rsidRPr="007475D9">
        <w:rPr>
          <w:rFonts w:hint="eastAsia"/>
          <w:sz w:val="24"/>
        </w:rPr>
        <w:t>个人就有</w:t>
      </w:r>
      <w:r w:rsidRPr="007475D9">
        <w:rPr>
          <w:rFonts w:hint="eastAsia"/>
          <w:sz w:val="24"/>
        </w:rPr>
        <w:t>1</w:t>
      </w:r>
      <w:r w:rsidRPr="007475D9">
        <w:rPr>
          <w:rFonts w:hint="eastAsia"/>
          <w:sz w:val="24"/>
        </w:rPr>
        <w:t>个人患病。目前我国</w:t>
      </w:r>
      <w:r w:rsidRPr="007475D9">
        <w:rPr>
          <w:rFonts w:hint="eastAsia"/>
          <w:sz w:val="24"/>
        </w:rPr>
        <w:t>60</w:t>
      </w:r>
      <w:r w:rsidRPr="007475D9">
        <w:rPr>
          <w:rFonts w:hint="eastAsia"/>
          <w:sz w:val="24"/>
        </w:rPr>
        <w:t>岁以上老人中，有一半以上饱受骨关节炎的困扰。同时由于年轻人运动不当和外伤导致的骨关节炎也越来越常见，骨关节炎已经出现了低龄化的趋势。事实上，骨关节炎的致残率可高达</w:t>
      </w:r>
      <w:r w:rsidRPr="007475D9">
        <w:rPr>
          <w:rFonts w:hint="eastAsia"/>
          <w:sz w:val="24"/>
        </w:rPr>
        <w:t>53%</w:t>
      </w:r>
      <w:r w:rsidRPr="007475D9">
        <w:rPr>
          <w:rFonts w:hint="eastAsia"/>
          <w:sz w:val="24"/>
        </w:rPr>
        <w:t>，骨关节炎引发疼痛和功能障碍的危害严重程度相当甚至大于心脑血管疾病，公众对骨关节炎危害的认识还远远不够。患者人群上升为关节炎的功能性食品和用药市场带来扩容。我国骨关节炎化学药物市场规模从</w:t>
      </w:r>
      <w:r w:rsidRPr="007475D9">
        <w:rPr>
          <w:rFonts w:hint="eastAsia"/>
          <w:sz w:val="24"/>
        </w:rPr>
        <w:t>2008</w:t>
      </w:r>
      <w:r w:rsidRPr="007475D9">
        <w:rPr>
          <w:rFonts w:hint="eastAsia"/>
          <w:sz w:val="24"/>
        </w:rPr>
        <w:t>年的</w:t>
      </w:r>
      <w:r w:rsidRPr="007475D9">
        <w:rPr>
          <w:rFonts w:hint="eastAsia"/>
          <w:sz w:val="24"/>
        </w:rPr>
        <w:t>36.88</w:t>
      </w:r>
      <w:r w:rsidRPr="007475D9">
        <w:rPr>
          <w:rFonts w:hint="eastAsia"/>
          <w:sz w:val="24"/>
        </w:rPr>
        <w:t>亿元增长到</w:t>
      </w:r>
      <w:r w:rsidRPr="007475D9">
        <w:rPr>
          <w:rFonts w:hint="eastAsia"/>
          <w:sz w:val="24"/>
        </w:rPr>
        <w:t>2015</w:t>
      </w:r>
      <w:r w:rsidRPr="007475D9">
        <w:rPr>
          <w:rFonts w:hint="eastAsia"/>
          <w:sz w:val="24"/>
        </w:rPr>
        <w:t>年的</w:t>
      </w:r>
      <w:r w:rsidRPr="007475D9">
        <w:rPr>
          <w:rFonts w:hint="eastAsia"/>
          <w:sz w:val="24"/>
        </w:rPr>
        <w:t>132.48</w:t>
      </w:r>
      <w:r w:rsidRPr="007475D9">
        <w:rPr>
          <w:rFonts w:hint="eastAsia"/>
          <w:sz w:val="24"/>
        </w:rPr>
        <w:t>亿元，年复合增长率高达</w:t>
      </w:r>
      <w:r w:rsidRPr="007475D9">
        <w:rPr>
          <w:rFonts w:hint="eastAsia"/>
          <w:sz w:val="24"/>
        </w:rPr>
        <w:t>20.04%</w:t>
      </w:r>
      <w:r w:rsidRPr="007475D9">
        <w:rPr>
          <w:rFonts w:hint="eastAsia"/>
          <w:sz w:val="24"/>
        </w:rPr>
        <w:t>。预计骨关节炎的市场将会呈继续走高的趋势，在</w:t>
      </w:r>
      <w:r w:rsidRPr="007475D9">
        <w:rPr>
          <w:rFonts w:hint="eastAsia"/>
          <w:sz w:val="24"/>
        </w:rPr>
        <w:t>2018</w:t>
      </w:r>
      <w:r w:rsidRPr="007475D9">
        <w:rPr>
          <w:rFonts w:hint="eastAsia"/>
          <w:sz w:val="24"/>
        </w:rPr>
        <w:t>年整体市场规模或将会突破</w:t>
      </w:r>
      <w:r w:rsidRPr="007475D9">
        <w:rPr>
          <w:rFonts w:hint="eastAsia"/>
          <w:sz w:val="24"/>
        </w:rPr>
        <w:t>228</w:t>
      </w:r>
      <w:r w:rsidRPr="007475D9">
        <w:rPr>
          <w:rFonts w:hint="eastAsia"/>
          <w:sz w:val="24"/>
        </w:rPr>
        <w:t>亿元。</w:t>
      </w:r>
    </w:p>
    <w:p w14:paraId="2FC51F73" w14:textId="77777777" w:rsidR="007475D9" w:rsidRDefault="007475D9" w:rsidP="007475D9">
      <w:pPr>
        <w:spacing w:line="360" w:lineRule="auto"/>
        <w:ind w:firstLineChars="200" w:firstLine="480"/>
        <w:rPr>
          <w:sz w:val="24"/>
        </w:rPr>
      </w:pPr>
      <w:r w:rsidRPr="007475D9">
        <w:rPr>
          <w:rFonts w:hint="eastAsia"/>
          <w:sz w:val="24"/>
        </w:rPr>
        <w:t>在国际医药市场上，以布洛芬、萘普生和双氯芬酸为代表的</w:t>
      </w:r>
      <w:r w:rsidRPr="007475D9">
        <w:rPr>
          <w:rFonts w:hint="eastAsia"/>
          <w:sz w:val="24"/>
        </w:rPr>
        <w:t>3</w:t>
      </w:r>
      <w:r w:rsidRPr="007475D9">
        <w:rPr>
          <w:rFonts w:hint="eastAsia"/>
          <w:sz w:val="24"/>
        </w:rPr>
        <w:t>大消炎药以及各种可的松类激素药，长期以来一直占据骨关节病药物市场的垄断地位。</w:t>
      </w:r>
      <w:r w:rsidRPr="007475D9">
        <w:rPr>
          <w:rFonts w:hint="eastAsia"/>
          <w:sz w:val="24"/>
        </w:rPr>
        <w:t>20</w:t>
      </w:r>
      <w:r w:rsidRPr="007475D9">
        <w:rPr>
          <w:rFonts w:hint="eastAsia"/>
          <w:sz w:val="24"/>
        </w:rPr>
        <w:t>世纪</w:t>
      </w:r>
      <w:r w:rsidRPr="007475D9">
        <w:rPr>
          <w:rFonts w:hint="eastAsia"/>
          <w:sz w:val="24"/>
        </w:rPr>
        <w:t>90</w:t>
      </w:r>
      <w:r w:rsidRPr="007475D9">
        <w:rPr>
          <w:rFonts w:hint="eastAsia"/>
          <w:sz w:val="24"/>
        </w:rPr>
        <w:t>年代末，随着以“万络”和“西络宝”为代表的新一代</w:t>
      </w:r>
      <w:r w:rsidRPr="007475D9">
        <w:rPr>
          <w:rFonts w:hint="eastAsia"/>
          <w:sz w:val="24"/>
        </w:rPr>
        <w:t>COX-</w:t>
      </w:r>
      <w:r w:rsidRPr="007475D9">
        <w:rPr>
          <w:rFonts w:hint="eastAsia"/>
          <w:sz w:val="24"/>
        </w:rPr>
        <w:t>Ⅱ（环氧合酶</w:t>
      </w:r>
      <w:r w:rsidRPr="007475D9">
        <w:rPr>
          <w:rFonts w:hint="eastAsia"/>
          <w:sz w:val="24"/>
        </w:rPr>
        <w:t>-2</w:t>
      </w:r>
      <w:r w:rsidRPr="007475D9">
        <w:rPr>
          <w:rFonts w:hint="eastAsia"/>
          <w:sz w:val="24"/>
        </w:rPr>
        <w:t>）抑制剂类强力消炎药物的崛起，布洛芬类老产品一枝独秀的局面被打破。但随着</w:t>
      </w:r>
      <w:r w:rsidRPr="007475D9">
        <w:rPr>
          <w:rFonts w:hint="eastAsia"/>
          <w:sz w:val="24"/>
        </w:rPr>
        <w:t>COX-</w:t>
      </w:r>
      <w:r w:rsidRPr="007475D9">
        <w:rPr>
          <w:rFonts w:hint="eastAsia"/>
          <w:sz w:val="24"/>
        </w:rPr>
        <w:t>Ⅱ致心肌梗死以及布洛芬、萘普生和双氯芬酸引起胃出血等严重副作用的发生，美国等发达国家厂商开始尝试开发治疗关节疾病的新型保健食品，非变性</w:t>
      </w:r>
      <w:r w:rsidRPr="007475D9">
        <w:rPr>
          <w:rFonts w:hint="eastAsia"/>
          <w:sz w:val="24"/>
        </w:rPr>
        <w:t>II</w:t>
      </w:r>
      <w:r w:rsidRPr="007475D9">
        <w:rPr>
          <w:rFonts w:hint="eastAsia"/>
          <w:sz w:val="24"/>
        </w:rPr>
        <w:t>型胶原蛋白应运而生，其安全性高、无副作用，效果明显已是未来</w:t>
      </w:r>
      <w:r w:rsidRPr="007475D9">
        <w:rPr>
          <w:rFonts w:hint="eastAsia"/>
          <w:sz w:val="24"/>
        </w:rPr>
        <w:t>10</w:t>
      </w:r>
      <w:r w:rsidRPr="007475D9">
        <w:rPr>
          <w:rFonts w:hint="eastAsia"/>
          <w:sz w:val="24"/>
        </w:rPr>
        <w:t>年倍受看好的品种</w:t>
      </w:r>
      <w:r w:rsidR="00561216" w:rsidRPr="001B6513">
        <w:rPr>
          <w:rFonts w:hint="eastAsia"/>
          <w:sz w:val="24"/>
        </w:rPr>
        <w:t>。</w:t>
      </w:r>
    </w:p>
    <w:p w14:paraId="793D16F5" w14:textId="6EA88CD1" w:rsidR="007475D9" w:rsidRDefault="007475D9" w:rsidP="007475D9">
      <w:pPr>
        <w:spacing w:line="360" w:lineRule="auto"/>
        <w:ind w:firstLineChars="200" w:firstLine="480"/>
        <w:rPr>
          <w:sz w:val="24"/>
        </w:rPr>
      </w:pPr>
      <w:r w:rsidRPr="007475D9">
        <w:rPr>
          <w:rFonts w:hint="eastAsia"/>
          <w:sz w:val="24"/>
        </w:rPr>
        <w:t>根据法国</w:t>
      </w:r>
      <w:proofErr w:type="spellStart"/>
      <w:r w:rsidRPr="007475D9">
        <w:rPr>
          <w:rFonts w:hint="eastAsia"/>
          <w:sz w:val="24"/>
        </w:rPr>
        <w:t>Frost&amp;Sullivan</w:t>
      </w:r>
      <w:proofErr w:type="spellEnd"/>
      <w:r w:rsidRPr="007475D9">
        <w:rPr>
          <w:rFonts w:hint="eastAsia"/>
          <w:sz w:val="24"/>
        </w:rPr>
        <w:t>调查数据显示，非变性</w:t>
      </w:r>
      <w:r w:rsidRPr="007475D9">
        <w:rPr>
          <w:rFonts w:hint="eastAsia"/>
          <w:sz w:val="24"/>
        </w:rPr>
        <w:t>II</w:t>
      </w:r>
      <w:r w:rsidRPr="007475D9">
        <w:rPr>
          <w:rFonts w:hint="eastAsia"/>
          <w:sz w:val="24"/>
        </w:rPr>
        <w:t>型胶原蛋白</w:t>
      </w:r>
      <w:r w:rsidRPr="007475D9">
        <w:rPr>
          <w:rFonts w:hint="eastAsia"/>
          <w:sz w:val="24"/>
        </w:rPr>
        <w:t>2022</w:t>
      </w:r>
      <w:r w:rsidRPr="007475D9">
        <w:rPr>
          <w:rFonts w:hint="eastAsia"/>
          <w:sz w:val="24"/>
        </w:rPr>
        <w:t>年全球销售总额达到</w:t>
      </w:r>
      <w:r w:rsidRPr="007475D9">
        <w:rPr>
          <w:rFonts w:hint="eastAsia"/>
          <w:sz w:val="24"/>
        </w:rPr>
        <w:t>1.54</w:t>
      </w:r>
      <w:r w:rsidRPr="007475D9">
        <w:rPr>
          <w:rFonts w:hint="eastAsia"/>
          <w:sz w:val="24"/>
        </w:rPr>
        <w:t>亿美金，市场份额最大的地区为北美，占比为</w:t>
      </w:r>
      <w:r w:rsidRPr="007475D9">
        <w:rPr>
          <w:rFonts w:hint="eastAsia"/>
          <w:sz w:val="24"/>
        </w:rPr>
        <w:t>37.8.7%</w:t>
      </w:r>
      <w:r w:rsidRPr="007475D9">
        <w:rPr>
          <w:rFonts w:hint="eastAsia"/>
          <w:sz w:val="24"/>
        </w:rPr>
        <w:t>，其次为亚太地区（</w:t>
      </w:r>
      <w:r w:rsidRPr="007475D9">
        <w:rPr>
          <w:rFonts w:hint="eastAsia"/>
          <w:sz w:val="24"/>
        </w:rPr>
        <w:t>28.6%</w:t>
      </w:r>
      <w:r w:rsidRPr="007475D9">
        <w:rPr>
          <w:rFonts w:hint="eastAsia"/>
          <w:sz w:val="24"/>
        </w:rPr>
        <w:t>），欧洲（</w:t>
      </w:r>
      <w:r w:rsidRPr="007475D9">
        <w:rPr>
          <w:rFonts w:hint="eastAsia"/>
          <w:sz w:val="24"/>
        </w:rPr>
        <w:t>20.8%</w:t>
      </w:r>
      <w:r w:rsidRPr="007475D9">
        <w:rPr>
          <w:rFonts w:hint="eastAsia"/>
          <w:sz w:val="24"/>
        </w:rPr>
        <w:t>）、拉美（</w:t>
      </w:r>
      <w:r w:rsidRPr="007475D9">
        <w:rPr>
          <w:rFonts w:hint="eastAsia"/>
          <w:sz w:val="24"/>
        </w:rPr>
        <w:t>8.9%</w:t>
      </w:r>
      <w:r w:rsidRPr="007475D9">
        <w:rPr>
          <w:rFonts w:hint="eastAsia"/>
          <w:sz w:val="24"/>
        </w:rPr>
        <w:t>）和中东（</w:t>
      </w:r>
      <w:r w:rsidRPr="007475D9">
        <w:rPr>
          <w:rFonts w:hint="eastAsia"/>
          <w:sz w:val="24"/>
        </w:rPr>
        <w:t>3.9%</w:t>
      </w:r>
      <w:r w:rsidRPr="007475D9">
        <w:rPr>
          <w:rFonts w:hint="eastAsia"/>
          <w:sz w:val="24"/>
        </w:rPr>
        <w:t>）。其中中国占到亚太地区的销售额</w:t>
      </w:r>
      <w:r w:rsidRPr="007475D9">
        <w:rPr>
          <w:rFonts w:hint="eastAsia"/>
          <w:sz w:val="24"/>
        </w:rPr>
        <w:t>70%</w:t>
      </w:r>
      <w:r w:rsidRPr="007475D9">
        <w:rPr>
          <w:rFonts w:hint="eastAsia"/>
          <w:sz w:val="24"/>
        </w:rPr>
        <w:t>以上，主要应用在促进关节健康的功能性食品中。</w:t>
      </w:r>
    </w:p>
    <w:p w14:paraId="29E0205C" w14:textId="37EC765F" w:rsidR="007475D9" w:rsidRDefault="007475D9" w:rsidP="007475D9">
      <w:pPr>
        <w:pStyle w:val="3"/>
      </w:pPr>
      <w:bookmarkStart w:id="7" w:name="_Toc176255768"/>
      <w:r>
        <w:lastRenderedPageBreak/>
        <w:t>2.</w:t>
      </w:r>
      <w:r>
        <w:rPr>
          <w:rFonts w:hint="eastAsia"/>
        </w:rPr>
        <w:t>2</w:t>
      </w:r>
      <w:r>
        <w:t xml:space="preserve"> </w:t>
      </w:r>
      <w:r>
        <w:rPr>
          <w:rFonts w:hint="eastAsia"/>
        </w:rPr>
        <w:t>研究与应用现状</w:t>
      </w:r>
      <w:bookmarkEnd w:id="7"/>
    </w:p>
    <w:p w14:paraId="66AD57AA" w14:textId="51D62061" w:rsidR="007475D9" w:rsidRDefault="007475D9" w:rsidP="007475D9">
      <w:pPr>
        <w:spacing w:line="360" w:lineRule="auto"/>
        <w:ind w:firstLineChars="200" w:firstLine="480"/>
        <w:rPr>
          <w:sz w:val="24"/>
        </w:rPr>
      </w:pPr>
      <w:r w:rsidRPr="007475D9">
        <w:rPr>
          <w:rFonts w:hint="eastAsia"/>
          <w:sz w:val="24"/>
        </w:rPr>
        <w:t>非变性</w:t>
      </w:r>
      <w:r w:rsidRPr="007475D9">
        <w:rPr>
          <w:rFonts w:hint="eastAsia"/>
          <w:sz w:val="24"/>
        </w:rPr>
        <w:t>II</w:t>
      </w:r>
      <w:r w:rsidRPr="007475D9">
        <w:rPr>
          <w:rFonts w:hint="eastAsia"/>
          <w:sz w:val="24"/>
        </w:rPr>
        <w:t>型胶原蛋白目前只有在美国、西班牙和日本这几个国家生产，终端市场代表品牌如维骨力、钙尔奇等都添加了该产品，以增强其改善关节的效果。</w:t>
      </w:r>
      <w:r w:rsidRPr="007475D9">
        <w:rPr>
          <w:rFonts w:hint="eastAsia"/>
          <w:sz w:val="24"/>
        </w:rPr>
        <w:t>2017</w:t>
      </w:r>
      <w:r w:rsidRPr="007475D9">
        <w:rPr>
          <w:rFonts w:hint="eastAsia"/>
          <w:sz w:val="24"/>
        </w:rPr>
        <w:t>年北京盛美诺生物技术有限公司与中国科学院过程工程研究所合作，采用自主研发专利技术，以动物软骨为原料在低温条件下生产出非变性</w:t>
      </w:r>
      <w:r w:rsidRPr="007475D9">
        <w:rPr>
          <w:rFonts w:hint="eastAsia"/>
          <w:sz w:val="24"/>
        </w:rPr>
        <w:t>II</w:t>
      </w:r>
      <w:r w:rsidRPr="007475D9">
        <w:rPr>
          <w:rFonts w:hint="eastAsia"/>
          <w:sz w:val="24"/>
        </w:rPr>
        <w:t>型胶原蛋白，打破了国外的技术垄断，并取得了食品生产许可。</w:t>
      </w:r>
    </w:p>
    <w:p w14:paraId="4A62208A" w14:textId="0AB1471D" w:rsidR="007475D9" w:rsidRDefault="007475D9" w:rsidP="007475D9">
      <w:pPr>
        <w:pStyle w:val="3"/>
      </w:pPr>
      <w:bookmarkStart w:id="8" w:name="_Toc176255769"/>
      <w:r>
        <w:t>2.</w:t>
      </w:r>
      <w:r>
        <w:rPr>
          <w:rFonts w:hint="eastAsia"/>
        </w:rPr>
        <w:t>3</w:t>
      </w:r>
      <w:r>
        <w:t xml:space="preserve"> </w:t>
      </w:r>
      <w:r>
        <w:rPr>
          <w:rFonts w:hint="eastAsia"/>
        </w:rPr>
        <w:t>标准现状</w:t>
      </w:r>
      <w:bookmarkEnd w:id="8"/>
    </w:p>
    <w:p w14:paraId="3CFAD65A" w14:textId="5C4DDEFC" w:rsidR="007475D9" w:rsidRDefault="00B65FBA" w:rsidP="00AE0B0E">
      <w:pPr>
        <w:spacing w:line="360" w:lineRule="auto"/>
        <w:ind w:firstLineChars="200" w:firstLine="480"/>
        <w:rPr>
          <w:sz w:val="24"/>
        </w:rPr>
      </w:pPr>
      <w:r w:rsidRPr="00B65FBA">
        <w:rPr>
          <w:rFonts w:hint="eastAsia"/>
          <w:sz w:val="24"/>
        </w:rPr>
        <w:t>目前我国已颁布实施的相关标准主要有</w:t>
      </w:r>
      <w:r w:rsidRPr="00B65FBA">
        <w:rPr>
          <w:rFonts w:hint="eastAsia"/>
          <w:sz w:val="24"/>
        </w:rPr>
        <w:t>GB</w:t>
      </w:r>
      <w:r w:rsidRPr="00B65FBA">
        <w:rPr>
          <w:rFonts w:hint="eastAsia"/>
          <w:sz w:val="24"/>
        </w:rPr>
        <w:t>／</w:t>
      </w:r>
      <w:r w:rsidRPr="00B65FBA">
        <w:rPr>
          <w:rFonts w:hint="eastAsia"/>
          <w:sz w:val="24"/>
        </w:rPr>
        <w:t>T 31645</w:t>
      </w:r>
      <w:r w:rsidRPr="00B65FBA">
        <w:rPr>
          <w:rFonts w:hint="eastAsia"/>
          <w:sz w:val="24"/>
        </w:rPr>
        <w:t>《胶原蛋白肽》、</w:t>
      </w:r>
      <w:r w:rsidRPr="00B65FBA">
        <w:rPr>
          <w:rFonts w:hint="eastAsia"/>
          <w:sz w:val="24"/>
        </w:rPr>
        <w:t>GB/T 22729</w:t>
      </w:r>
      <w:r w:rsidRPr="00B65FBA">
        <w:rPr>
          <w:rFonts w:hint="eastAsia"/>
          <w:sz w:val="24"/>
        </w:rPr>
        <w:t>《海洋鱼胶原低聚肽》和</w:t>
      </w:r>
      <w:r w:rsidRPr="00B65FBA">
        <w:rPr>
          <w:rFonts w:hint="eastAsia"/>
          <w:sz w:val="24"/>
        </w:rPr>
        <w:t>QB</w:t>
      </w:r>
      <w:r>
        <w:rPr>
          <w:rFonts w:hint="eastAsia"/>
          <w:sz w:val="24"/>
        </w:rPr>
        <w:t xml:space="preserve"> </w:t>
      </w:r>
      <w:r w:rsidRPr="00B65FBA">
        <w:rPr>
          <w:rFonts w:hint="eastAsia"/>
          <w:sz w:val="24"/>
        </w:rPr>
        <w:t>2732</w:t>
      </w:r>
      <w:r w:rsidRPr="00B65FBA">
        <w:rPr>
          <w:rFonts w:hint="eastAsia"/>
          <w:sz w:val="24"/>
        </w:rPr>
        <w:t>《水解胶原蛋白》，这些标准规定的范围都是降解成胶原蛋白肽的产品，但是非变性</w:t>
      </w:r>
      <w:r w:rsidRPr="00B65FBA">
        <w:rPr>
          <w:rFonts w:hint="eastAsia"/>
          <w:sz w:val="24"/>
        </w:rPr>
        <w:t>II</w:t>
      </w:r>
      <w:r w:rsidRPr="00B65FBA">
        <w:rPr>
          <w:rFonts w:hint="eastAsia"/>
          <w:sz w:val="24"/>
        </w:rPr>
        <w:t>型胶原蛋白的特点是非变性胶原蛋白质，</w:t>
      </w:r>
      <w:r w:rsidR="00AE0B0E">
        <w:rPr>
          <w:rFonts w:hint="eastAsia"/>
          <w:sz w:val="24"/>
        </w:rPr>
        <w:t>以上标准均不适用。目前</w:t>
      </w:r>
      <w:r w:rsidR="00AE0B0E" w:rsidRPr="00AE0B0E">
        <w:rPr>
          <w:rFonts w:hint="eastAsia"/>
          <w:sz w:val="24"/>
        </w:rPr>
        <w:t>国内尚无非变性</w:t>
      </w:r>
      <w:r w:rsidR="00AE0B0E" w:rsidRPr="00AE0B0E">
        <w:rPr>
          <w:rFonts w:hint="eastAsia"/>
          <w:sz w:val="24"/>
        </w:rPr>
        <w:t>II</w:t>
      </w:r>
      <w:r w:rsidR="00AE0B0E" w:rsidRPr="00AE0B0E">
        <w:rPr>
          <w:rFonts w:hint="eastAsia"/>
          <w:sz w:val="24"/>
        </w:rPr>
        <w:t>型胶原蛋白相关国家标准或行业标准</w:t>
      </w:r>
      <w:r w:rsidR="00B967F2">
        <w:rPr>
          <w:rFonts w:hint="eastAsia"/>
          <w:sz w:val="24"/>
        </w:rPr>
        <w:t>。</w:t>
      </w:r>
    </w:p>
    <w:p w14:paraId="12C35496" w14:textId="03DBDAE8" w:rsidR="00AE0B0E" w:rsidRDefault="00AE0B0E" w:rsidP="00AE0B0E">
      <w:pPr>
        <w:pStyle w:val="3"/>
      </w:pPr>
      <w:bookmarkStart w:id="9" w:name="_Toc176255770"/>
      <w:r>
        <w:t>2.</w:t>
      </w:r>
      <w:r>
        <w:rPr>
          <w:rFonts w:hint="eastAsia"/>
        </w:rPr>
        <w:t>4</w:t>
      </w:r>
      <w:r>
        <w:t xml:space="preserve"> </w:t>
      </w:r>
      <w:r>
        <w:rPr>
          <w:rFonts w:hint="eastAsia"/>
        </w:rPr>
        <w:t>标准制定的目的意义</w:t>
      </w:r>
      <w:bookmarkEnd w:id="9"/>
    </w:p>
    <w:p w14:paraId="5EEFAA65" w14:textId="77777777" w:rsidR="00AE0B0E" w:rsidRPr="00AE0B0E" w:rsidRDefault="00AE0B0E" w:rsidP="00AE0B0E">
      <w:pPr>
        <w:spacing w:line="360" w:lineRule="auto"/>
        <w:ind w:firstLineChars="200" w:firstLine="480"/>
        <w:rPr>
          <w:sz w:val="24"/>
        </w:rPr>
      </w:pPr>
      <w:r w:rsidRPr="00AE0B0E">
        <w:rPr>
          <w:rFonts w:hint="eastAsia"/>
          <w:sz w:val="24"/>
        </w:rPr>
        <w:t>非变性</w:t>
      </w:r>
      <w:r w:rsidRPr="00AE0B0E">
        <w:rPr>
          <w:rFonts w:hint="eastAsia"/>
          <w:sz w:val="24"/>
        </w:rPr>
        <w:t>II</w:t>
      </w:r>
      <w:r w:rsidRPr="00AE0B0E">
        <w:rPr>
          <w:rFonts w:hint="eastAsia"/>
          <w:sz w:val="24"/>
        </w:rPr>
        <w:t>型胶原蛋白是从动物软骨中提取出的一种产品。胶原蛋白的工业化生产可追溯至</w:t>
      </w:r>
      <w:r w:rsidRPr="00AE0B0E">
        <w:rPr>
          <w:rFonts w:hint="eastAsia"/>
          <w:sz w:val="24"/>
        </w:rPr>
        <w:t>20</w:t>
      </w:r>
      <w:r w:rsidRPr="00AE0B0E">
        <w:rPr>
          <w:rFonts w:hint="eastAsia"/>
          <w:sz w:val="24"/>
        </w:rPr>
        <w:t>世纪</w:t>
      </w:r>
      <w:r w:rsidRPr="00AE0B0E">
        <w:rPr>
          <w:rFonts w:hint="eastAsia"/>
          <w:sz w:val="24"/>
        </w:rPr>
        <w:t>40</w:t>
      </w:r>
      <w:r w:rsidRPr="00AE0B0E">
        <w:rPr>
          <w:rFonts w:hint="eastAsia"/>
          <w:sz w:val="24"/>
        </w:rPr>
        <w:t>年代末，在食品中的应用始于</w:t>
      </w:r>
      <w:r w:rsidRPr="00AE0B0E">
        <w:rPr>
          <w:rFonts w:hint="eastAsia"/>
          <w:sz w:val="24"/>
        </w:rPr>
        <w:t>20</w:t>
      </w:r>
      <w:r w:rsidRPr="00AE0B0E">
        <w:rPr>
          <w:rFonts w:hint="eastAsia"/>
          <w:sz w:val="24"/>
        </w:rPr>
        <w:t>世纪</w:t>
      </w:r>
      <w:r w:rsidRPr="00AE0B0E">
        <w:rPr>
          <w:rFonts w:hint="eastAsia"/>
          <w:sz w:val="24"/>
        </w:rPr>
        <w:t>70</w:t>
      </w:r>
      <w:r w:rsidRPr="00AE0B0E">
        <w:rPr>
          <w:rFonts w:hint="eastAsia"/>
          <w:sz w:val="24"/>
        </w:rPr>
        <w:t>年代初，</w:t>
      </w:r>
      <w:r w:rsidRPr="00AE0B0E">
        <w:rPr>
          <w:rFonts w:hint="eastAsia"/>
          <w:sz w:val="24"/>
        </w:rPr>
        <w:t>1999</w:t>
      </w:r>
      <w:r w:rsidRPr="00AE0B0E">
        <w:rPr>
          <w:rFonts w:hint="eastAsia"/>
          <w:sz w:val="24"/>
        </w:rPr>
        <w:t>年获批美国食品药品管理局（</w:t>
      </w:r>
      <w:r w:rsidRPr="00AE0B0E">
        <w:rPr>
          <w:rFonts w:hint="eastAsia"/>
          <w:sz w:val="24"/>
        </w:rPr>
        <w:t>FDA</w:t>
      </w:r>
      <w:r w:rsidRPr="00AE0B0E">
        <w:rPr>
          <w:rFonts w:hint="eastAsia"/>
          <w:sz w:val="24"/>
        </w:rPr>
        <w:t>）普遍认为安全（</w:t>
      </w:r>
      <w:r w:rsidRPr="00AE0B0E">
        <w:rPr>
          <w:rFonts w:hint="eastAsia"/>
          <w:sz w:val="24"/>
        </w:rPr>
        <w:t>GRAS</w:t>
      </w:r>
      <w:r w:rsidRPr="00AE0B0E">
        <w:rPr>
          <w:rFonts w:hint="eastAsia"/>
          <w:sz w:val="24"/>
        </w:rPr>
        <w:t>）认证，</w:t>
      </w:r>
      <w:r w:rsidRPr="00AE0B0E">
        <w:rPr>
          <w:rFonts w:hint="eastAsia"/>
          <w:sz w:val="24"/>
        </w:rPr>
        <w:t>2016</w:t>
      </w:r>
      <w:r w:rsidRPr="00AE0B0E">
        <w:rPr>
          <w:rFonts w:hint="eastAsia"/>
          <w:sz w:val="24"/>
        </w:rPr>
        <w:t>年卫计委将非变性</w:t>
      </w:r>
      <w:r w:rsidRPr="00AE0B0E">
        <w:rPr>
          <w:rFonts w:hint="eastAsia"/>
          <w:sz w:val="24"/>
        </w:rPr>
        <w:t>II</w:t>
      </w:r>
      <w:r w:rsidRPr="00AE0B0E">
        <w:rPr>
          <w:rFonts w:hint="eastAsia"/>
          <w:sz w:val="24"/>
        </w:rPr>
        <w:t>型胶原蛋白批准为普通食品。</w:t>
      </w:r>
    </w:p>
    <w:p w14:paraId="20BF0BEA" w14:textId="178CBA59" w:rsidR="00AE0B0E" w:rsidRPr="00AE0B0E" w:rsidRDefault="00AE0B0E" w:rsidP="00AE0B0E">
      <w:pPr>
        <w:spacing w:line="360" w:lineRule="auto"/>
        <w:ind w:firstLineChars="200" w:firstLine="480"/>
        <w:rPr>
          <w:sz w:val="24"/>
        </w:rPr>
      </w:pPr>
      <w:r w:rsidRPr="00AE0B0E">
        <w:rPr>
          <w:rFonts w:hint="eastAsia"/>
          <w:sz w:val="24"/>
        </w:rPr>
        <w:t>经科学实验证实，非变性</w:t>
      </w:r>
      <w:r w:rsidRPr="00AE0B0E">
        <w:rPr>
          <w:rFonts w:hint="eastAsia"/>
          <w:sz w:val="24"/>
        </w:rPr>
        <w:t>II</w:t>
      </w:r>
      <w:r w:rsidRPr="00AE0B0E">
        <w:rPr>
          <w:rFonts w:hint="eastAsia"/>
          <w:sz w:val="24"/>
        </w:rPr>
        <w:t>型胶原蛋白能够缓解关节疼痛，提高关节灵活性，改善骨关节炎，在国内外膳食补充剂中得到广泛的应用。经调查发现非变性</w:t>
      </w:r>
      <w:r w:rsidRPr="00AE0B0E">
        <w:rPr>
          <w:rFonts w:hint="eastAsia"/>
          <w:sz w:val="24"/>
        </w:rPr>
        <w:t>II</w:t>
      </w:r>
      <w:r w:rsidRPr="00AE0B0E">
        <w:rPr>
          <w:rFonts w:hint="eastAsia"/>
          <w:sz w:val="24"/>
        </w:rPr>
        <w:t>型胶原蛋白市场鱼龙混杂，非变性</w:t>
      </w:r>
      <w:r w:rsidRPr="00AE0B0E">
        <w:rPr>
          <w:rFonts w:hint="eastAsia"/>
          <w:sz w:val="24"/>
        </w:rPr>
        <w:t>II</w:t>
      </w:r>
      <w:r w:rsidRPr="00AE0B0E">
        <w:rPr>
          <w:rFonts w:hint="eastAsia"/>
          <w:sz w:val="24"/>
        </w:rPr>
        <w:t>型胶原蛋白成分含量没法保障，让消费者真假难辨。经抽样检测数据和广泛市场调研显示，目前市场上非变性</w:t>
      </w:r>
      <w:r w:rsidRPr="00AE0B0E">
        <w:rPr>
          <w:rFonts w:hint="eastAsia"/>
          <w:sz w:val="24"/>
        </w:rPr>
        <w:t>II</w:t>
      </w:r>
      <w:r w:rsidRPr="00AE0B0E">
        <w:rPr>
          <w:rFonts w:hint="eastAsia"/>
          <w:sz w:val="24"/>
        </w:rPr>
        <w:t>型胶原蛋白产品存在</w:t>
      </w:r>
      <w:r>
        <w:rPr>
          <w:rFonts w:hint="eastAsia"/>
          <w:sz w:val="24"/>
        </w:rPr>
        <w:t>的</w:t>
      </w:r>
      <w:r w:rsidRPr="00AE0B0E">
        <w:rPr>
          <w:rFonts w:hint="eastAsia"/>
          <w:sz w:val="24"/>
        </w:rPr>
        <w:t>问题</w:t>
      </w:r>
      <w:r>
        <w:rPr>
          <w:rFonts w:hint="eastAsia"/>
          <w:sz w:val="24"/>
        </w:rPr>
        <w:t>包括</w:t>
      </w:r>
      <w:r w:rsidRPr="00AE0B0E">
        <w:rPr>
          <w:rFonts w:hint="eastAsia"/>
          <w:sz w:val="24"/>
        </w:rPr>
        <w:t>非变性</w:t>
      </w:r>
      <w:r w:rsidRPr="00AE0B0E">
        <w:rPr>
          <w:rFonts w:hint="eastAsia"/>
          <w:sz w:val="24"/>
        </w:rPr>
        <w:t>II</w:t>
      </w:r>
      <w:r w:rsidRPr="00AE0B0E">
        <w:rPr>
          <w:rFonts w:hint="eastAsia"/>
          <w:sz w:val="24"/>
        </w:rPr>
        <w:t>型胶原蛋白纯度存在极大差异；非变性</w:t>
      </w:r>
      <w:r w:rsidRPr="00AE0B0E">
        <w:rPr>
          <w:rFonts w:hint="eastAsia"/>
          <w:sz w:val="24"/>
        </w:rPr>
        <w:t>II</w:t>
      </w:r>
      <w:r w:rsidRPr="00AE0B0E">
        <w:rPr>
          <w:rFonts w:hint="eastAsia"/>
          <w:sz w:val="24"/>
        </w:rPr>
        <w:t>型胶原蛋白纯度检测方法不统一。</w:t>
      </w:r>
      <w:r w:rsidRPr="00AE0B0E">
        <w:rPr>
          <w:rFonts w:hint="eastAsia"/>
          <w:sz w:val="24"/>
        </w:rPr>
        <w:t xml:space="preserve"> </w:t>
      </w:r>
    </w:p>
    <w:p w14:paraId="38D72910" w14:textId="79888E29" w:rsidR="00AE0B0E" w:rsidRPr="00DC0627" w:rsidRDefault="00AE0B0E" w:rsidP="00DC0627">
      <w:pPr>
        <w:spacing w:line="360" w:lineRule="auto"/>
        <w:ind w:firstLineChars="200" w:firstLine="480"/>
        <w:rPr>
          <w:sz w:val="24"/>
        </w:rPr>
      </w:pPr>
      <w:r w:rsidRPr="00AE0B0E">
        <w:rPr>
          <w:rFonts w:hint="eastAsia"/>
          <w:sz w:val="24"/>
        </w:rPr>
        <w:t>市场的混乱严重制约了行业的健康发展，经查询，国内尚无非变性</w:t>
      </w:r>
      <w:r w:rsidRPr="00AE0B0E">
        <w:rPr>
          <w:rFonts w:hint="eastAsia"/>
          <w:sz w:val="24"/>
        </w:rPr>
        <w:t>II</w:t>
      </w:r>
      <w:r w:rsidRPr="00AE0B0E">
        <w:rPr>
          <w:rFonts w:hint="eastAsia"/>
          <w:sz w:val="24"/>
        </w:rPr>
        <w:t>型胶原蛋白相关国家标准或行业标准，无标可依、无标可用，已成为非变性</w:t>
      </w:r>
      <w:r w:rsidRPr="00AE0B0E">
        <w:rPr>
          <w:rFonts w:hint="eastAsia"/>
          <w:sz w:val="24"/>
        </w:rPr>
        <w:t>II</w:t>
      </w:r>
      <w:r w:rsidRPr="00AE0B0E">
        <w:rPr>
          <w:rFonts w:hint="eastAsia"/>
          <w:sz w:val="24"/>
        </w:rPr>
        <w:t>型胶原蛋白产业亟需解决的重大问题</w:t>
      </w:r>
      <w:r w:rsidRPr="007475D9">
        <w:rPr>
          <w:rFonts w:hint="eastAsia"/>
          <w:sz w:val="24"/>
        </w:rPr>
        <w:t>。</w:t>
      </w:r>
      <w:r w:rsidR="00B967F2">
        <w:rPr>
          <w:rFonts w:hint="eastAsia"/>
          <w:sz w:val="24"/>
        </w:rPr>
        <w:t>为了保证产品质量，</w:t>
      </w:r>
      <w:r w:rsidR="00B967F2" w:rsidRPr="00B65FBA">
        <w:rPr>
          <w:rFonts w:hint="eastAsia"/>
          <w:sz w:val="24"/>
        </w:rPr>
        <w:t>急需制定一项规范非变性</w:t>
      </w:r>
      <w:r w:rsidR="00B967F2" w:rsidRPr="00B65FBA">
        <w:rPr>
          <w:rFonts w:hint="eastAsia"/>
          <w:sz w:val="24"/>
        </w:rPr>
        <w:t>II</w:t>
      </w:r>
      <w:r w:rsidR="00B967F2" w:rsidRPr="00B65FBA">
        <w:rPr>
          <w:rFonts w:hint="eastAsia"/>
          <w:sz w:val="24"/>
        </w:rPr>
        <w:t>型</w:t>
      </w:r>
      <w:r w:rsidR="00B967F2">
        <w:rPr>
          <w:rFonts w:hint="eastAsia"/>
          <w:sz w:val="24"/>
        </w:rPr>
        <w:t>胶原蛋白</w:t>
      </w:r>
      <w:r w:rsidR="00B967F2" w:rsidRPr="00B65FBA">
        <w:rPr>
          <w:rFonts w:hint="eastAsia"/>
          <w:sz w:val="24"/>
        </w:rPr>
        <w:t>质量</w:t>
      </w:r>
      <w:r w:rsidR="00B967F2">
        <w:rPr>
          <w:rFonts w:hint="eastAsia"/>
          <w:sz w:val="24"/>
        </w:rPr>
        <w:t>的</w:t>
      </w:r>
      <w:r w:rsidR="00B967F2" w:rsidRPr="00B65FBA">
        <w:rPr>
          <w:rFonts w:hint="eastAsia"/>
          <w:sz w:val="24"/>
        </w:rPr>
        <w:t>行业标准，</w:t>
      </w:r>
      <w:r w:rsidR="00B967F2">
        <w:rPr>
          <w:rFonts w:hint="eastAsia"/>
          <w:sz w:val="24"/>
        </w:rPr>
        <w:t>以便</w:t>
      </w:r>
      <w:r w:rsidR="00B967F2" w:rsidRPr="00B65FBA">
        <w:rPr>
          <w:rFonts w:hint="eastAsia"/>
          <w:sz w:val="24"/>
        </w:rPr>
        <w:t>更好地实现优质优价、规范市场秩序、保护消费者利益，满足市场目前最迫切的标准需求，从而进一步促进产业发展</w:t>
      </w:r>
      <w:r w:rsidR="00B967F2" w:rsidRPr="007475D9">
        <w:rPr>
          <w:rFonts w:hint="eastAsia"/>
          <w:sz w:val="24"/>
        </w:rPr>
        <w:t>。</w:t>
      </w:r>
    </w:p>
    <w:p w14:paraId="7BFF95F4" w14:textId="77777777" w:rsidR="00282016" w:rsidRDefault="00000000">
      <w:pPr>
        <w:pStyle w:val="2"/>
        <w:rPr>
          <w:rFonts w:ascii="Times New Roman" w:hAnsi="Times New Roman"/>
        </w:rPr>
      </w:pPr>
      <w:bookmarkStart w:id="10" w:name="_Toc176255771"/>
      <w:r>
        <w:rPr>
          <w:rFonts w:ascii="Times New Roman" w:hAnsi="Times New Roman"/>
        </w:rPr>
        <w:lastRenderedPageBreak/>
        <w:t xml:space="preserve">3. </w:t>
      </w:r>
      <w:r>
        <w:rPr>
          <w:rFonts w:ascii="Times New Roman" w:hAnsi="Times New Roman"/>
        </w:rPr>
        <w:t>起草过程</w:t>
      </w:r>
      <w:bookmarkEnd w:id="10"/>
    </w:p>
    <w:p w14:paraId="1728B0F2" w14:textId="7F44BAC6" w:rsidR="00282016" w:rsidRDefault="00000000">
      <w:pPr>
        <w:pStyle w:val="3"/>
      </w:pPr>
      <w:bookmarkStart w:id="11" w:name="_Toc176255772"/>
      <w:r>
        <w:t xml:space="preserve">3.1 </w:t>
      </w:r>
      <w:r w:rsidR="0058680B">
        <w:rPr>
          <w:rFonts w:hint="eastAsia"/>
        </w:rPr>
        <w:t xml:space="preserve"> </w:t>
      </w:r>
      <w:r>
        <w:t>成立标准</w:t>
      </w:r>
      <w:r w:rsidR="00CB51BB">
        <w:rPr>
          <w:rFonts w:hint="eastAsia"/>
        </w:rPr>
        <w:t>起草</w:t>
      </w:r>
      <w:r>
        <w:t>工作组</w:t>
      </w:r>
      <w:bookmarkEnd w:id="11"/>
    </w:p>
    <w:p w14:paraId="0F18FEC5" w14:textId="2E15B474" w:rsidR="00282016" w:rsidRDefault="00DC0627">
      <w:pPr>
        <w:snapToGrid w:val="0"/>
        <w:spacing w:line="360" w:lineRule="auto"/>
        <w:ind w:firstLineChars="200" w:firstLine="480"/>
        <w:rPr>
          <w:sz w:val="24"/>
        </w:rPr>
      </w:pPr>
      <w:r w:rsidRPr="00DC0627">
        <w:rPr>
          <w:rFonts w:hint="eastAsia"/>
          <w:sz w:val="24"/>
        </w:rPr>
        <w:t>标准制定计划下达后，</w:t>
      </w:r>
      <w:r w:rsidRPr="00DC0627">
        <w:rPr>
          <w:rFonts w:hint="eastAsia"/>
          <w:sz w:val="24"/>
        </w:rPr>
        <w:t>2023</w:t>
      </w:r>
      <w:r w:rsidRPr="00DC0627">
        <w:rPr>
          <w:rFonts w:hint="eastAsia"/>
          <w:sz w:val="24"/>
        </w:rPr>
        <w:t>年</w:t>
      </w:r>
      <w:r w:rsidRPr="00DC0627">
        <w:rPr>
          <w:rFonts w:hint="eastAsia"/>
          <w:sz w:val="24"/>
        </w:rPr>
        <w:t>8</w:t>
      </w:r>
      <w:r w:rsidRPr="00DC0627">
        <w:rPr>
          <w:rFonts w:hint="eastAsia"/>
          <w:sz w:val="24"/>
        </w:rPr>
        <w:t>月</w:t>
      </w:r>
      <w:r w:rsidRPr="00DC0627">
        <w:rPr>
          <w:rFonts w:hint="eastAsia"/>
          <w:sz w:val="24"/>
        </w:rPr>
        <w:t>3</w:t>
      </w:r>
      <w:r w:rsidRPr="00DC0627">
        <w:rPr>
          <w:rFonts w:hint="eastAsia"/>
          <w:sz w:val="24"/>
        </w:rPr>
        <w:t>日在中国标准化研究院召开了行业标准《非变性</w:t>
      </w:r>
      <w:r w:rsidRPr="00DC0627">
        <w:rPr>
          <w:rFonts w:hint="eastAsia"/>
          <w:sz w:val="24"/>
        </w:rPr>
        <w:t>II</w:t>
      </w:r>
      <w:r w:rsidRPr="00DC0627">
        <w:rPr>
          <w:rFonts w:hint="eastAsia"/>
          <w:sz w:val="24"/>
        </w:rPr>
        <w:t>型胶原蛋白》第一次起草工作会议，成立了标准起草工作组，并进行了任务分工。起草</w:t>
      </w:r>
      <w:r>
        <w:rPr>
          <w:rFonts w:hint="eastAsia"/>
          <w:sz w:val="24"/>
        </w:rPr>
        <w:t>单位</w:t>
      </w:r>
      <w:r w:rsidRPr="00DC0627">
        <w:rPr>
          <w:rFonts w:hint="eastAsia"/>
          <w:sz w:val="24"/>
        </w:rPr>
        <w:t>包括</w:t>
      </w:r>
      <w:r w:rsidR="00F37437" w:rsidRPr="009C0BFD">
        <w:rPr>
          <w:rFonts w:hint="eastAsia"/>
          <w:sz w:val="24"/>
        </w:rPr>
        <w:t>中国标准化研究院、安徽盛美诺生物技术有限公司、仙乐健康科技股份有限公司、同仁堂健康股份有限公司、中国科学院过程工程研究所</w:t>
      </w:r>
      <w:r w:rsidR="00CB51BB">
        <w:rPr>
          <w:sz w:val="24"/>
        </w:rPr>
        <w:t>。</w:t>
      </w:r>
    </w:p>
    <w:p w14:paraId="25259DD4" w14:textId="698EC47B" w:rsidR="009B0343" w:rsidRDefault="009B0343" w:rsidP="009B0343">
      <w:pPr>
        <w:pStyle w:val="3"/>
      </w:pPr>
      <w:bookmarkStart w:id="12" w:name="_Toc176255773"/>
      <w:r>
        <w:rPr>
          <w:rFonts w:hint="eastAsia"/>
        </w:rPr>
        <w:t>3</w:t>
      </w:r>
      <w:r>
        <w:t>.</w:t>
      </w:r>
      <w:r>
        <w:rPr>
          <w:rFonts w:hint="eastAsia"/>
        </w:rPr>
        <w:t>2</w:t>
      </w:r>
      <w:r>
        <w:t xml:space="preserve">  </w:t>
      </w:r>
      <w:r w:rsidR="00244194" w:rsidRPr="00244194">
        <w:rPr>
          <w:rFonts w:hint="eastAsia"/>
        </w:rPr>
        <w:t>确立工作计划和标准制定原则</w:t>
      </w:r>
      <w:bookmarkEnd w:id="12"/>
    </w:p>
    <w:p w14:paraId="6D716D27" w14:textId="77777777" w:rsidR="00244194" w:rsidRPr="00244194" w:rsidRDefault="00244194" w:rsidP="00244194">
      <w:pPr>
        <w:snapToGrid w:val="0"/>
        <w:spacing w:line="360" w:lineRule="auto"/>
        <w:ind w:firstLineChars="200" w:firstLine="480"/>
        <w:rPr>
          <w:sz w:val="24"/>
        </w:rPr>
      </w:pPr>
      <w:r w:rsidRPr="00244194">
        <w:rPr>
          <w:rFonts w:hint="eastAsia"/>
          <w:sz w:val="24"/>
        </w:rPr>
        <w:t>按照工作任务要求，工作组进行了任务分解，制定了标准起草工作计划和任务分工表。为保证标准的先进性和适用性，标准起草工作组在充分讨论和研究的基础上，明确了指标选择与确定的以下原则：</w:t>
      </w:r>
    </w:p>
    <w:p w14:paraId="33756DC6" w14:textId="77777777" w:rsidR="00244194" w:rsidRPr="00244194" w:rsidRDefault="00244194" w:rsidP="00244194">
      <w:pPr>
        <w:snapToGrid w:val="0"/>
        <w:spacing w:line="360" w:lineRule="auto"/>
        <w:ind w:firstLineChars="200" w:firstLine="480"/>
        <w:rPr>
          <w:sz w:val="24"/>
        </w:rPr>
      </w:pPr>
      <w:r w:rsidRPr="00244194">
        <w:rPr>
          <w:rFonts w:hint="eastAsia"/>
          <w:sz w:val="24"/>
        </w:rPr>
        <w:t>（</w:t>
      </w:r>
      <w:r w:rsidRPr="00244194">
        <w:rPr>
          <w:rFonts w:hint="eastAsia"/>
          <w:sz w:val="24"/>
        </w:rPr>
        <w:t>1</w:t>
      </w:r>
      <w:r w:rsidRPr="00244194">
        <w:rPr>
          <w:rFonts w:hint="eastAsia"/>
          <w:sz w:val="24"/>
        </w:rPr>
        <w:t>）结合实验数据确定技术指标；</w:t>
      </w:r>
    </w:p>
    <w:p w14:paraId="3B012177" w14:textId="77777777" w:rsidR="00244194" w:rsidRPr="00244194" w:rsidRDefault="00244194" w:rsidP="00244194">
      <w:pPr>
        <w:snapToGrid w:val="0"/>
        <w:spacing w:line="360" w:lineRule="auto"/>
        <w:ind w:firstLineChars="200" w:firstLine="480"/>
        <w:rPr>
          <w:sz w:val="24"/>
        </w:rPr>
      </w:pPr>
      <w:r w:rsidRPr="00244194">
        <w:rPr>
          <w:rFonts w:hint="eastAsia"/>
          <w:sz w:val="24"/>
        </w:rPr>
        <w:t>（</w:t>
      </w:r>
      <w:r w:rsidRPr="00244194">
        <w:rPr>
          <w:rFonts w:hint="eastAsia"/>
          <w:sz w:val="24"/>
        </w:rPr>
        <w:t>2</w:t>
      </w:r>
      <w:r w:rsidRPr="00244194">
        <w:rPr>
          <w:rFonts w:hint="eastAsia"/>
          <w:sz w:val="24"/>
        </w:rPr>
        <w:t>）技术水平与生产实际相结合；</w:t>
      </w:r>
    </w:p>
    <w:p w14:paraId="2F249DBE" w14:textId="1F35FEEB" w:rsidR="009B0343" w:rsidRPr="009B0343" w:rsidRDefault="00244194" w:rsidP="00244194">
      <w:pPr>
        <w:snapToGrid w:val="0"/>
        <w:spacing w:line="360" w:lineRule="auto"/>
        <w:ind w:firstLineChars="200" w:firstLine="480"/>
        <w:rPr>
          <w:sz w:val="24"/>
        </w:rPr>
      </w:pPr>
      <w:r w:rsidRPr="00244194">
        <w:rPr>
          <w:rFonts w:hint="eastAsia"/>
          <w:sz w:val="24"/>
        </w:rPr>
        <w:t>（</w:t>
      </w:r>
      <w:r w:rsidRPr="00244194">
        <w:rPr>
          <w:rFonts w:hint="eastAsia"/>
          <w:sz w:val="24"/>
        </w:rPr>
        <w:t>3</w:t>
      </w:r>
      <w:r w:rsidRPr="00244194">
        <w:rPr>
          <w:rFonts w:hint="eastAsia"/>
          <w:sz w:val="24"/>
        </w:rPr>
        <w:t>）优先体现质量引导和规范作用，兼顾可操作性</w:t>
      </w:r>
      <w:r w:rsidR="009B0343" w:rsidRPr="009B0343">
        <w:rPr>
          <w:sz w:val="24"/>
        </w:rPr>
        <w:t>。</w:t>
      </w:r>
    </w:p>
    <w:p w14:paraId="2AC43FB1" w14:textId="0FE72B1A" w:rsidR="009B0343" w:rsidRDefault="009B0343" w:rsidP="009B0343">
      <w:pPr>
        <w:pStyle w:val="3"/>
      </w:pPr>
      <w:bookmarkStart w:id="13" w:name="_Toc176255774"/>
      <w:r>
        <w:rPr>
          <w:rFonts w:hint="eastAsia"/>
        </w:rPr>
        <w:t>3</w:t>
      </w:r>
      <w:r>
        <w:t>.</w:t>
      </w:r>
      <w:r>
        <w:rPr>
          <w:rFonts w:hint="eastAsia"/>
        </w:rPr>
        <w:t>3</w:t>
      </w:r>
      <w:r>
        <w:t xml:space="preserve">  </w:t>
      </w:r>
      <w:r w:rsidR="001361BF" w:rsidRPr="001361BF">
        <w:rPr>
          <w:rFonts w:hint="eastAsia"/>
        </w:rPr>
        <w:t>形成标准草案</w:t>
      </w:r>
      <w:bookmarkEnd w:id="13"/>
    </w:p>
    <w:p w14:paraId="45CC2F95" w14:textId="76E96C5D" w:rsidR="009B0343" w:rsidRPr="009B0343" w:rsidRDefault="001361BF" w:rsidP="00E96BA8">
      <w:pPr>
        <w:snapToGrid w:val="0"/>
        <w:spacing w:line="360" w:lineRule="auto"/>
        <w:ind w:firstLineChars="200" w:firstLine="480"/>
        <w:rPr>
          <w:sz w:val="24"/>
        </w:rPr>
      </w:pPr>
      <w:r w:rsidRPr="001361BF">
        <w:rPr>
          <w:rFonts w:hint="eastAsia"/>
          <w:sz w:val="24"/>
        </w:rPr>
        <w:t>标准起草工作组首先收集、翻译和整理了国内外有关研究进展和先进国家的相关标准、法规等文献资料，掌握了有关标准现状；并对我国现有非变性</w:t>
      </w:r>
      <w:r w:rsidRPr="001361BF">
        <w:rPr>
          <w:rFonts w:hint="eastAsia"/>
          <w:sz w:val="24"/>
        </w:rPr>
        <w:t>II</w:t>
      </w:r>
      <w:r w:rsidRPr="001361BF">
        <w:rPr>
          <w:rFonts w:hint="eastAsia"/>
          <w:sz w:val="24"/>
        </w:rPr>
        <w:t>型胶原蛋白相关标准当中的术语、检测方法和检测指标等技术内容进行了归纳和总结，为标准文本的编制奠定理论基础。在《非变性</w:t>
      </w:r>
      <w:r w:rsidRPr="001361BF">
        <w:rPr>
          <w:rFonts w:hint="eastAsia"/>
          <w:sz w:val="24"/>
        </w:rPr>
        <w:t>II</w:t>
      </w:r>
      <w:r w:rsidRPr="001361BF">
        <w:rPr>
          <w:rFonts w:hint="eastAsia"/>
          <w:sz w:val="24"/>
        </w:rPr>
        <w:t>型胶原蛋白》行业标准第一次起草工作会的基础上，起草工作组及相关单位共同讨论了《非变性</w:t>
      </w:r>
      <w:r w:rsidRPr="001361BF">
        <w:rPr>
          <w:rFonts w:hint="eastAsia"/>
          <w:sz w:val="24"/>
        </w:rPr>
        <w:t>II</w:t>
      </w:r>
      <w:r w:rsidRPr="001361BF">
        <w:rPr>
          <w:rFonts w:hint="eastAsia"/>
          <w:sz w:val="24"/>
        </w:rPr>
        <w:t>型胶原蛋白》行业标准的技术框架和主要内容，</w:t>
      </w:r>
      <w:r w:rsidR="00927EA8">
        <w:rPr>
          <w:rFonts w:hint="eastAsia"/>
          <w:sz w:val="24"/>
        </w:rPr>
        <w:t>会后经汇总整理</w:t>
      </w:r>
      <w:r w:rsidRPr="001361BF">
        <w:rPr>
          <w:rFonts w:hint="eastAsia"/>
          <w:sz w:val="24"/>
        </w:rPr>
        <w:t>初步形成了标准草案</w:t>
      </w:r>
      <w:r w:rsidR="00B115E7">
        <w:rPr>
          <w:rFonts w:hint="eastAsia"/>
          <w:sz w:val="24"/>
        </w:rPr>
        <w:t>。</w:t>
      </w:r>
    </w:p>
    <w:p w14:paraId="454A4F81" w14:textId="03CD53C3" w:rsidR="009B0343" w:rsidRDefault="009B0343" w:rsidP="009B0343">
      <w:pPr>
        <w:pStyle w:val="3"/>
      </w:pPr>
      <w:bookmarkStart w:id="14" w:name="_Toc176255775"/>
      <w:r>
        <w:rPr>
          <w:rFonts w:hint="eastAsia"/>
        </w:rPr>
        <w:t>3</w:t>
      </w:r>
      <w:r>
        <w:t>.</w:t>
      </w:r>
      <w:r>
        <w:rPr>
          <w:rFonts w:hint="eastAsia"/>
        </w:rPr>
        <w:t>4</w:t>
      </w:r>
      <w:r>
        <w:t xml:space="preserve">  </w:t>
      </w:r>
      <w:r w:rsidR="008863A9" w:rsidRPr="008863A9">
        <w:rPr>
          <w:rFonts w:hint="eastAsia"/>
        </w:rPr>
        <w:t>形成标准讨论稿和编制说明</w:t>
      </w:r>
      <w:bookmarkEnd w:id="14"/>
    </w:p>
    <w:p w14:paraId="088A7C98" w14:textId="4BA6D3E1" w:rsidR="008863A9" w:rsidRPr="008863A9" w:rsidRDefault="008863A9" w:rsidP="008863A9">
      <w:pPr>
        <w:snapToGrid w:val="0"/>
        <w:spacing w:line="360" w:lineRule="auto"/>
        <w:ind w:firstLineChars="200" w:firstLine="480"/>
        <w:rPr>
          <w:sz w:val="24"/>
        </w:rPr>
      </w:pPr>
      <w:r w:rsidRPr="008863A9">
        <w:rPr>
          <w:rFonts w:hint="eastAsia"/>
          <w:sz w:val="24"/>
        </w:rPr>
        <w:t>2023</w:t>
      </w:r>
      <w:r w:rsidRPr="008863A9">
        <w:rPr>
          <w:rFonts w:hint="eastAsia"/>
          <w:sz w:val="24"/>
        </w:rPr>
        <w:t>年</w:t>
      </w:r>
      <w:r w:rsidRPr="008863A9">
        <w:rPr>
          <w:rFonts w:hint="eastAsia"/>
          <w:sz w:val="24"/>
        </w:rPr>
        <w:t>11</w:t>
      </w:r>
      <w:r w:rsidRPr="008863A9">
        <w:rPr>
          <w:rFonts w:hint="eastAsia"/>
          <w:sz w:val="24"/>
        </w:rPr>
        <w:t>月</w:t>
      </w:r>
      <w:r w:rsidRPr="008863A9">
        <w:rPr>
          <w:rFonts w:hint="eastAsia"/>
          <w:sz w:val="24"/>
        </w:rPr>
        <w:t>9</w:t>
      </w:r>
      <w:r w:rsidRPr="008863A9">
        <w:rPr>
          <w:rFonts w:hint="eastAsia"/>
          <w:sz w:val="24"/>
        </w:rPr>
        <w:t>日，起草工作组组织相关单位和专家在广东省汕头市仙乐健康科技股份有限公司召开了第二次标准起草工作会议。来自中国检验检疫科学院、中国农业大学、清华大学、北京联合大学、厦门海关技术中心等单位的专家对《非变性</w:t>
      </w:r>
      <w:r w:rsidRPr="008863A9">
        <w:rPr>
          <w:rFonts w:hint="eastAsia"/>
          <w:sz w:val="24"/>
        </w:rPr>
        <w:t>II</w:t>
      </w:r>
      <w:r w:rsidRPr="008863A9">
        <w:rPr>
          <w:rFonts w:hint="eastAsia"/>
          <w:sz w:val="24"/>
        </w:rPr>
        <w:t>型胶原蛋白》行业标准草案中的英文名称、范围、规范性引用文件、质量等级规定等内容提出了详细的意见，会后起草工作组根据专家意见，</w:t>
      </w:r>
      <w:r>
        <w:rPr>
          <w:rFonts w:hint="eastAsia"/>
          <w:sz w:val="24"/>
        </w:rPr>
        <w:t>汇总整理</w:t>
      </w:r>
      <w:r w:rsidR="008465F9">
        <w:rPr>
          <w:rFonts w:hint="eastAsia"/>
          <w:sz w:val="24"/>
        </w:rPr>
        <w:t>和修改</w:t>
      </w:r>
      <w:r w:rsidRPr="008863A9">
        <w:rPr>
          <w:rFonts w:hint="eastAsia"/>
          <w:sz w:val="24"/>
        </w:rPr>
        <w:t>形成了标准讨论稿及其编制说明。</w:t>
      </w:r>
    </w:p>
    <w:p w14:paraId="35DC761A" w14:textId="6DDA2EB5" w:rsidR="00CE2DD7" w:rsidRPr="00CE2DD7" w:rsidRDefault="00CE2DD7" w:rsidP="00CE2DD7">
      <w:pPr>
        <w:pStyle w:val="3"/>
      </w:pPr>
      <w:bookmarkStart w:id="15" w:name="_Toc176255776"/>
      <w:r>
        <w:rPr>
          <w:rFonts w:hint="eastAsia"/>
        </w:rPr>
        <w:lastRenderedPageBreak/>
        <w:t>3</w:t>
      </w:r>
      <w:r>
        <w:t>.</w:t>
      </w:r>
      <w:r>
        <w:rPr>
          <w:rFonts w:hint="eastAsia"/>
        </w:rPr>
        <w:t>5</w:t>
      </w:r>
      <w:r>
        <w:t xml:space="preserve">  </w:t>
      </w:r>
      <w:r w:rsidR="008465F9" w:rsidRPr="008465F9">
        <w:rPr>
          <w:rFonts w:hint="eastAsia"/>
        </w:rPr>
        <w:t>开展非变性</w:t>
      </w:r>
      <w:r w:rsidR="008465F9" w:rsidRPr="008465F9">
        <w:rPr>
          <w:rFonts w:hint="eastAsia"/>
        </w:rPr>
        <w:t>II</w:t>
      </w:r>
      <w:r w:rsidR="008465F9" w:rsidRPr="008465F9">
        <w:rPr>
          <w:rFonts w:hint="eastAsia"/>
        </w:rPr>
        <w:t>型胶原蛋白产业调研和质量等级指标检测</w:t>
      </w:r>
      <w:bookmarkEnd w:id="15"/>
    </w:p>
    <w:p w14:paraId="717CE661" w14:textId="5F7AD84E" w:rsidR="009B0343" w:rsidRPr="009B0343" w:rsidRDefault="008465F9" w:rsidP="00CE2DD7">
      <w:pPr>
        <w:snapToGrid w:val="0"/>
        <w:spacing w:line="360" w:lineRule="auto"/>
        <w:ind w:firstLineChars="200" w:firstLine="480"/>
        <w:rPr>
          <w:sz w:val="24"/>
        </w:rPr>
      </w:pPr>
      <w:r w:rsidRPr="008465F9">
        <w:rPr>
          <w:rFonts w:hint="eastAsia"/>
          <w:sz w:val="24"/>
        </w:rPr>
        <w:t>2023</w:t>
      </w:r>
      <w:r w:rsidRPr="008465F9">
        <w:rPr>
          <w:rFonts w:hint="eastAsia"/>
          <w:sz w:val="24"/>
        </w:rPr>
        <w:t>年</w:t>
      </w:r>
      <w:r w:rsidRPr="008465F9">
        <w:rPr>
          <w:rFonts w:hint="eastAsia"/>
          <w:sz w:val="24"/>
        </w:rPr>
        <w:t>8</w:t>
      </w:r>
      <w:r w:rsidRPr="008465F9">
        <w:rPr>
          <w:rFonts w:hint="eastAsia"/>
          <w:sz w:val="24"/>
        </w:rPr>
        <w:t>月</w:t>
      </w:r>
      <w:r w:rsidRPr="008465F9">
        <w:rPr>
          <w:rFonts w:hint="eastAsia"/>
          <w:sz w:val="24"/>
        </w:rPr>
        <w:t>-2024</w:t>
      </w:r>
      <w:r w:rsidRPr="008465F9">
        <w:rPr>
          <w:rFonts w:hint="eastAsia"/>
          <w:sz w:val="24"/>
        </w:rPr>
        <w:t>年</w:t>
      </w:r>
      <w:r w:rsidRPr="008465F9">
        <w:rPr>
          <w:rFonts w:hint="eastAsia"/>
          <w:sz w:val="24"/>
        </w:rPr>
        <w:t>6</w:t>
      </w:r>
      <w:r w:rsidRPr="008465F9">
        <w:rPr>
          <w:rFonts w:hint="eastAsia"/>
          <w:sz w:val="24"/>
        </w:rPr>
        <w:t>月，起草工作组购买</w:t>
      </w:r>
      <w:r>
        <w:rPr>
          <w:rFonts w:hint="eastAsia"/>
          <w:sz w:val="24"/>
        </w:rPr>
        <w:t>了</w:t>
      </w:r>
      <w:r w:rsidRPr="008465F9">
        <w:rPr>
          <w:rFonts w:hint="eastAsia"/>
          <w:sz w:val="24"/>
        </w:rPr>
        <w:t>国内市场上的非变性</w:t>
      </w:r>
      <w:r w:rsidRPr="008465F9">
        <w:rPr>
          <w:rFonts w:hint="eastAsia"/>
          <w:sz w:val="24"/>
        </w:rPr>
        <w:t>II</w:t>
      </w:r>
      <w:r w:rsidRPr="008465F9">
        <w:rPr>
          <w:rFonts w:hint="eastAsia"/>
          <w:sz w:val="24"/>
        </w:rPr>
        <w:t>型胶原蛋白</w:t>
      </w:r>
      <w:r>
        <w:rPr>
          <w:rFonts w:hint="eastAsia"/>
          <w:sz w:val="24"/>
        </w:rPr>
        <w:t>产品</w:t>
      </w:r>
      <w:r w:rsidRPr="008465F9">
        <w:rPr>
          <w:rFonts w:hint="eastAsia"/>
          <w:sz w:val="24"/>
        </w:rPr>
        <w:t>，经查阅大量学术文献，制定了科学严谨的质量指标检测</w:t>
      </w:r>
      <w:r>
        <w:rPr>
          <w:rFonts w:hint="eastAsia"/>
          <w:sz w:val="24"/>
        </w:rPr>
        <w:t>、</w:t>
      </w:r>
      <w:r w:rsidRPr="008465F9">
        <w:rPr>
          <w:rFonts w:hint="eastAsia"/>
          <w:sz w:val="24"/>
        </w:rPr>
        <w:t>评价实验方案</w:t>
      </w:r>
      <w:r>
        <w:rPr>
          <w:rFonts w:hint="eastAsia"/>
          <w:sz w:val="24"/>
        </w:rPr>
        <w:t>，并进行</w:t>
      </w:r>
      <w:r w:rsidRPr="008465F9">
        <w:rPr>
          <w:rFonts w:hint="eastAsia"/>
          <w:sz w:val="24"/>
        </w:rPr>
        <w:t>任务分工，随后起草工作组对这些指标进行了检测，得到</w:t>
      </w:r>
      <w:r w:rsidRPr="008465F9">
        <w:rPr>
          <w:rFonts w:hint="eastAsia"/>
          <w:sz w:val="24"/>
        </w:rPr>
        <w:t>30</w:t>
      </w:r>
      <w:r w:rsidRPr="008465F9">
        <w:rPr>
          <w:rFonts w:hint="eastAsia"/>
          <w:sz w:val="24"/>
        </w:rPr>
        <w:t>个样本数据，并对数据进行了分析和处理</w:t>
      </w:r>
      <w:r w:rsidR="009F26F9">
        <w:rPr>
          <w:rFonts w:hint="eastAsia"/>
          <w:sz w:val="24"/>
        </w:rPr>
        <w:t>，为标准中指标的确立提供了理论依据</w:t>
      </w:r>
      <w:r w:rsidR="00CE2DD7" w:rsidRPr="00CE2DD7">
        <w:rPr>
          <w:rFonts w:hint="eastAsia"/>
          <w:sz w:val="24"/>
        </w:rPr>
        <w:t>。</w:t>
      </w:r>
    </w:p>
    <w:p w14:paraId="2B9F4B11" w14:textId="3A068DAB" w:rsidR="009F26F9" w:rsidRDefault="009F26F9" w:rsidP="009F26F9">
      <w:pPr>
        <w:pStyle w:val="3"/>
      </w:pPr>
      <w:bookmarkStart w:id="16" w:name="_Toc176255777"/>
      <w:r w:rsidRPr="00C66A32">
        <w:rPr>
          <w:rFonts w:hint="eastAsia"/>
        </w:rPr>
        <w:t>3</w:t>
      </w:r>
      <w:r w:rsidRPr="00C66A32">
        <w:t>.</w:t>
      </w:r>
      <w:r>
        <w:rPr>
          <w:rFonts w:hint="eastAsia"/>
        </w:rPr>
        <w:t>6</w:t>
      </w:r>
      <w:r w:rsidRPr="00C66A32">
        <w:t xml:space="preserve"> </w:t>
      </w:r>
      <w:r>
        <w:rPr>
          <w:rFonts w:hint="eastAsia"/>
        </w:rPr>
        <w:t xml:space="preserve"> </w:t>
      </w:r>
      <w:r>
        <w:rPr>
          <w:rFonts w:hint="eastAsia"/>
        </w:rPr>
        <w:t>进行方法学验证</w:t>
      </w:r>
      <w:bookmarkEnd w:id="16"/>
    </w:p>
    <w:p w14:paraId="190F8B8B" w14:textId="0CC63A93" w:rsidR="009F26F9" w:rsidRDefault="009F26F9" w:rsidP="009F26F9">
      <w:pPr>
        <w:snapToGrid w:val="0"/>
        <w:spacing w:line="360" w:lineRule="auto"/>
        <w:ind w:firstLineChars="200" w:firstLine="480"/>
        <w:rPr>
          <w:sz w:val="24"/>
        </w:rPr>
      </w:pPr>
      <w:r w:rsidRPr="008465F9">
        <w:rPr>
          <w:rFonts w:hint="eastAsia"/>
          <w:sz w:val="24"/>
        </w:rPr>
        <w:t>在前期工作的基础上，起草工作组</w:t>
      </w:r>
      <w:r>
        <w:rPr>
          <w:rFonts w:hint="eastAsia"/>
          <w:sz w:val="24"/>
        </w:rPr>
        <w:t>主要针对标准中理化指标中的</w:t>
      </w:r>
      <w:r w:rsidRPr="009F26F9">
        <w:rPr>
          <w:rFonts w:hint="eastAsia"/>
          <w:sz w:val="24"/>
        </w:rPr>
        <w:t>非变性Ⅱ型胶原蛋白（以干基计）</w:t>
      </w:r>
      <w:r>
        <w:rPr>
          <w:rFonts w:hint="eastAsia"/>
          <w:sz w:val="24"/>
        </w:rPr>
        <w:t>这一指标</w:t>
      </w:r>
      <w:r w:rsidRPr="009F26F9">
        <w:rPr>
          <w:rFonts w:hint="eastAsia"/>
          <w:sz w:val="24"/>
        </w:rPr>
        <w:t>，</w:t>
      </w:r>
      <w:r>
        <w:rPr>
          <w:rFonts w:hint="eastAsia"/>
          <w:sz w:val="24"/>
        </w:rPr>
        <w:t>开展了深入的方法学研究，最终形成</w:t>
      </w:r>
      <w:r w:rsidRPr="009F26F9">
        <w:rPr>
          <w:sz w:val="24"/>
        </w:rPr>
        <w:t>氨基酸分析仪法</w:t>
      </w:r>
      <w:r w:rsidRPr="009F26F9">
        <w:rPr>
          <w:rFonts w:hint="eastAsia"/>
          <w:sz w:val="24"/>
        </w:rPr>
        <w:t>和高效液相色谱法两种检测方法</w:t>
      </w:r>
      <w:r w:rsidRPr="008465F9">
        <w:rPr>
          <w:rFonts w:hint="eastAsia"/>
          <w:sz w:val="24"/>
        </w:rPr>
        <w:t>。</w:t>
      </w:r>
      <w:r>
        <w:rPr>
          <w:rFonts w:hint="eastAsia"/>
          <w:sz w:val="24"/>
        </w:rPr>
        <w:t>起草工作组还对两种方法进行验证，并形成相应的验证报告。</w:t>
      </w:r>
    </w:p>
    <w:p w14:paraId="2C551E9F" w14:textId="5738D314" w:rsidR="009F26F9" w:rsidRDefault="009F26F9" w:rsidP="009F26F9">
      <w:pPr>
        <w:pStyle w:val="3"/>
      </w:pPr>
      <w:bookmarkStart w:id="17" w:name="_Toc176255778"/>
      <w:r w:rsidRPr="00C66A32">
        <w:rPr>
          <w:rFonts w:hint="eastAsia"/>
        </w:rPr>
        <w:t>3</w:t>
      </w:r>
      <w:r w:rsidRPr="00C66A32">
        <w:t>.</w:t>
      </w:r>
      <w:r>
        <w:rPr>
          <w:rFonts w:hint="eastAsia"/>
        </w:rPr>
        <w:t xml:space="preserve">7  </w:t>
      </w:r>
      <w:r w:rsidRPr="00C66A32">
        <w:rPr>
          <w:rFonts w:hint="eastAsia"/>
        </w:rPr>
        <w:t>形成标准征求意见稿和编制说明</w:t>
      </w:r>
      <w:bookmarkEnd w:id="17"/>
    </w:p>
    <w:p w14:paraId="5F0706DE" w14:textId="2A65D7DE" w:rsidR="009F26F9" w:rsidRPr="009F26F9" w:rsidRDefault="009F26F9" w:rsidP="009F26F9">
      <w:pPr>
        <w:snapToGrid w:val="0"/>
        <w:spacing w:line="360" w:lineRule="auto"/>
        <w:ind w:firstLineChars="200" w:firstLine="480"/>
        <w:rPr>
          <w:sz w:val="24"/>
        </w:rPr>
      </w:pPr>
      <w:r w:rsidRPr="008465F9">
        <w:rPr>
          <w:rFonts w:hint="eastAsia"/>
          <w:sz w:val="24"/>
        </w:rPr>
        <w:t>在前期工作的基础上，起草工作组</w:t>
      </w:r>
      <w:r>
        <w:rPr>
          <w:rFonts w:hint="eastAsia"/>
          <w:sz w:val="24"/>
        </w:rPr>
        <w:t>综合多次专家会讨论结果，结合调研情况、检测结果分析和方法学验证报告，并经过多次讨论修改</w:t>
      </w:r>
      <w:r w:rsidRPr="008465F9">
        <w:rPr>
          <w:rFonts w:hint="eastAsia"/>
          <w:sz w:val="24"/>
        </w:rPr>
        <w:t>形成了《非变性</w:t>
      </w:r>
      <w:r w:rsidRPr="008465F9">
        <w:rPr>
          <w:rFonts w:hint="eastAsia"/>
          <w:sz w:val="24"/>
        </w:rPr>
        <w:t>II</w:t>
      </w:r>
      <w:r w:rsidRPr="008465F9">
        <w:rPr>
          <w:rFonts w:hint="eastAsia"/>
          <w:sz w:val="24"/>
        </w:rPr>
        <w:t>型胶原蛋白》征求意见稿及编制说明。</w:t>
      </w:r>
    </w:p>
    <w:p w14:paraId="375138EE" w14:textId="4D67A907" w:rsidR="00282016" w:rsidRDefault="00000000">
      <w:pPr>
        <w:pStyle w:val="1"/>
        <w:spacing w:before="156" w:after="156"/>
      </w:pPr>
      <w:bookmarkStart w:id="18" w:name="_Toc176255779"/>
      <w:r>
        <w:t>二、标准编制原则、主要内容及其确定依据</w:t>
      </w:r>
      <w:bookmarkEnd w:id="18"/>
    </w:p>
    <w:p w14:paraId="4201C0CD" w14:textId="77777777" w:rsidR="00282016" w:rsidRDefault="00000000">
      <w:pPr>
        <w:pStyle w:val="2"/>
        <w:rPr>
          <w:rFonts w:ascii="Times New Roman" w:hAnsi="Times New Roman"/>
        </w:rPr>
      </w:pPr>
      <w:bookmarkStart w:id="19" w:name="_Toc176255780"/>
      <w:r>
        <w:rPr>
          <w:rFonts w:ascii="Times New Roman" w:hAnsi="Times New Roman"/>
        </w:rPr>
        <w:t xml:space="preserve">1. </w:t>
      </w:r>
      <w:r>
        <w:rPr>
          <w:rFonts w:ascii="Times New Roman" w:hAnsi="Times New Roman"/>
        </w:rPr>
        <w:t>编制原则</w:t>
      </w:r>
      <w:bookmarkEnd w:id="19"/>
    </w:p>
    <w:p w14:paraId="06B07173" w14:textId="77777777" w:rsidR="0032620A" w:rsidRPr="0032620A" w:rsidRDefault="0032620A" w:rsidP="0032620A">
      <w:pPr>
        <w:snapToGrid w:val="0"/>
        <w:spacing w:line="360" w:lineRule="auto"/>
        <w:ind w:firstLineChars="200" w:firstLine="480"/>
        <w:rPr>
          <w:sz w:val="24"/>
        </w:rPr>
      </w:pPr>
      <w:r w:rsidRPr="0032620A">
        <w:rPr>
          <w:rFonts w:hint="eastAsia"/>
          <w:sz w:val="24"/>
        </w:rPr>
        <w:t>为保证标准的先进性、科学性和适用性，标准起草工作组在充分讨论和研究的基础上，明确了标准制定的以下原则。</w:t>
      </w:r>
    </w:p>
    <w:p w14:paraId="39FD052C" w14:textId="3F6E919B" w:rsidR="0032620A" w:rsidRPr="00EA3119" w:rsidRDefault="0032620A" w:rsidP="0032620A">
      <w:pPr>
        <w:pStyle w:val="3"/>
      </w:pPr>
      <w:bookmarkStart w:id="20" w:name="_Toc176255781"/>
      <w:r w:rsidRPr="00EA3119">
        <w:rPr>
          <w:rFonts w:hint="eastAsia"/>
        </w:rPr>
        <w:t>1</w:t>
      </w:r>
      <w:r w:rsidRPr="00EA3119">
        <w:t>.1</w:t>
      </w:r>
      <w:r w:rsidR="00855FD1">
        <w:rPr>
          <w:rFonts w:hint="eastAsia"/>
        </w:rPr>
        <w:t xml:space="preserve">  </w:t>
      </w:r>
      <w:r w:rsidRPr="00EA3119">
        <w:rPr>
          <w:rFonts w:hint="eastAsia"/>
        </w:rPr>
        <w:t>与法衔接，适当延伸</w:t>
      </w:r>
      <w:bookmarkEnd w:id="20"/>
    </w:p>
    <w:p w14:paraId="1C5094D0" w14:textId="77777777" w:rsidR="00682653" w:rsidRPr="00682653" w:rsidRDefault="00682653" w:rsidP="00682653">
      <w:pPr>
        <w:snapToGrid w:val="0"/>
        <w:spacing w:line="360" w:lineRule="auto"/>
        <w:ind w:firstLineChars="200" w:firstLine="480"/>
        <w:rPr>
          <w:sz w:val="24"/>
        </w:rPr>
      </w:pPr>
      <w:r w:rsidRPr="00682653">
        <w:rPr>
          <w:rFonts w:hint="eastAsia"/>
          <w:sz w:val="24"/>
        </w:rPr>
        <w:t>遵循国家有关法规和强制性标准的前提下，有针对性的细化和丰富法规的内容和要求，如《食品安全法》、《农产品质量安全法》、《食用农产品市场销售质量安全监督管理办法》等。</w:t>
      </w:r>
    </w:p>
    <w:p w14:paraId="5FECD1E5" w14:textId="28067F5B" w:rsidR="0032620A" w:rsidRPr="00EA3119" w:rsidRDefault="0032620A" w:rsidP="0032620A">
      <w:pPr>
        <w:pStyle w:val="3"/>
      </w:pPr>
      <w:bookmarkStart w:id="21" w:name="_Toc176255782"/>
      <w:r w:rsidRPr="00EA3119">
        <w:rPr>
          <w:rFonts w:hint="eastAsia"/>
        </w:rPr>
        <w:t>1</w:t>
      </w:r>
      <w:r w:rsidRPr="00EA3119">
        <w:t xml:space="preserve">.2 </w:t>
      </w:r>
      <w:r w:rsidR="00855FD1">
        <w:rPr>
          <w:rFonts w:hint="eastAsia"/>
        </w:rPr>
        <w:t xml:space="preserve"> </w:t>
      </w:r>
      <w:r w:rsidRPr="00EA3119">
        <w:rPr>
          <w:rFonts w:hint="eastAsia"/>
        </w:rPr>
        <w:t>特点鲜明，目标明确</w:t>
      </w:r>
      <w:bookmarkEnd w:id="21"/>
    </w:p>
    <w:p w14:paraId="1B3D3900" w14:textId="633F8F40" w:rsidR="0032620A" w:rsidRPr="0032620A" w:rsidRDefault="00682653" w:rsidP="0032620A">
      <w:pPr>
        <w:snapToGrid w:val="0"/>
        <w:spacing w:line="360" w:lineRule="auto"/>
        <w:ind w:firstLineChars="200" w:firstLine="480"/>
        <w:rPr>
          <w:sz w:val="24"/>
        </w:rPr>
      </w:pPr>
      <w:r w:rsidRPr="00682653">
        <w:rPr>
          <w:rFonts w:hint="eastAsia"/>
          <w:sz w:val="24"/>
        </w:rPr>
        <w:t>首先，本标准</w:t>
      </w:r>
      <w:r w:rsidR="00A6145F">
        <w:rPr>
          <w:rFonts w:hint="eastAsia"/>
          <w:sz w:val="24"/>
        </w:rPr>
        <w:t>为</w:t>
      </w:r>
      <w:r w:rsidR="00A6145F" w:rsidRPr="00A6145F">
        <w:rPr>
          <w:rFonts w:hint="eastAsia"/>
          <w:sz w:val="24"/>
        </w:rPr>
        <w:t>非变性Ⅱ型胶原蛋白</w:t>
      </w:r>
      <w:r w:rsidRPr="00682653">
        <w:rPr>
          <w:rFonts w:hint="eastAsia"/>
          <w:sz w:val="24"/>
        </w:rPr>
        <w:t>的</w:t>
      </w:r>
      <w:r w:rsidR="00A6145F">
        <w:rPr>
          <w:rFonts w:hint="eastAsia"/>
          <w:sz w:val="24"/>
        </w:rPr>
        <w:t>产品标准，主要对其</w:t>
      </w:r>
      <w:r w:rsidR="00A6145F" w:rsidRPr="00A6145F">
        <w:rPr>
          <w:rFonts w:hint="eastAsia"/>
          <w:sz w:val="24"/>
        </w:rPr>
        <w:t>技术要求、生产加工过程的卫生要求、检验规则以及标签、包装、运输、贮存，试验方法</w:t>
      </w:r>
      <w:r w:rsidR="00E91467">
        <w:rPr>
          <w:rFonts w:hint="eastAsia"/>
          <w:sz w:val="24"/>
        </w:rPr>
        <w:t>等内容进行规定，又要明确适用目标，即适用于</w:t>
      </w:r>
      <w:r w:rsidR="00E91467" w:rsidRPr="00E91467">
        <w:rPr>
          <w:rFonts w:hint="eastAsia"/>
          <w:sz w:val="24"/>
        </w:rPr>
        <w:t>以鸡胸软骨为原料，经清洗、消毒、粉碎后加入氯化钾、在低温（≤</w:t>
      </w:r>
      <w:r w:rsidR="00E91467" w:rsidRPr="00E91467">
        <w:rPr>
          <w:rFonts w:hint="eastAsia"/>
          <w:sz w:val="24"/>
        </w:rPr>
        <w:t>45</w:t>
      </w:r>
      <w:r w:rsidR="00E91467" w:rsidRPr="00E91467">
        <w:rPr>
          <w:rFonts w:hint="eastAsia"/>
          <w:sz w:val="24"/>
        </w:rPr>
        <w:t>℃）条件下干燥、包装等生产工艺制成的非变性Ⅱ型胶原蛋白产品的生产和质量评价</w:t>
      </w:r>
      <w:r w:rsidR="0032620A" w:rsidRPr="0032620A">
        <w:rPr>
          <w:rFonts w:hint="eastAsia"/>
          <w:sz w:val="24"/>
        </w:rPr>
        <w:t>。</w:t>
      </w:r>
    </w:p>
    <w:p w14:paraId="16C083AD" w14:textId="6F140B35" w:rsidR="0032620A" w:rsidRPr="00EA3119" w:rsidRDefault="0032620A" w:rsidP="0032620A">
      <w:pPr>
        <w:pStyle w:val="3"/>
      </w:pPr>
      <w:bookmarkStart w:id="22" w:name="_Toc176255783"/>
      <w:r w:rsidRPr="00EA3119">
        <w:rPr>
          <w:rFonts w:hint="eastAsia"/>
        </w:rPr>
        <w:lastRenderedPageBreak/>
        <w:t>1</w:t>
      </w:r>
      <w:r w:rsidRPr="00EA3119">
        <w:t xml:space="preserve">.3 </w:t>
      </w:r>
      <w:r w:rsidR="00855FD1">
        <w:rPr>
          <w:rFonts w:hint="eastAsia"/>
        </w:rPr>
        <w:t xml:space="preserve"> </w:t>
      </w:r>
      <w:r w:rsidRPr="00EA3119">
        <w:rPr>
          <w:rFonts w:hint="eastAsia"/>
        </w:rPr>
        <w:t>科学适用，适度超前</w:t>
      </w:r>
      <w:bookmarkEnd w:id="22"/>
    </w:p>
    <w:p w14:paraId="7288530B" w14:textId="30E01885" w:rsidR="0032620A" w:rsidRPr="0032620A" w:rsidRDefault="00682653" w:rsidP="0032620A">
      <w:pPr>
        <w:snapToGrid w:val="0"/>
        <w:spacing w:line="360" w:lineRule="auto"/>
        <w:ind w:firstLineChars="200" w:firstLine="480"/>
        <w:rPr>
          <w:sz w:val="24"/>
        </w:rPr>
      </w:pPr>
      <w:r w:rsidRPr="00682653">
        <w:rPr>
          <w:rFonts w:hint="eastAsia"/>
          <w:sz w:val="24"/>
        </w:rPr>
        <w:t>本标准通过广泛的企业调研、技术研讨、行业专家征求意见等方式，确保未来标准的执行主体充分参与和征求意见，确保</w:t>
      </w:r>
      <w:r w:rsidR="00B43D71">
        <w:rPr>
          <w:rFonts w:hint="eastAsia"/>
          <w:sz w:val="24"/>
        </w:rPr>
        <w:t>标准颁布后企业在进行产品生产时</w:t>
      </w:r>
      <w:r w:rsidRPr="00682653">
        <w:rPr>
          <w:rFonts w:hint="eastAsia"/>
          <w:sz w:val="24"/>
        </w:rPr>
        <w:t>可执行、可操作。既要</w:t>
      </w:r>
      <w:r w:rsidR="00B43D71">
        <w:rPr>
          <w:rFonts w:hint="eastAsia"/>
          <w:sz w:val="24"/>
        </w:rPr>
        <w:t>对</w:t>
      </w:r>
      <w:r w:rsidRPr="00682653">
        <w:rPr>
          <w:rFonts w:hint="eastAsia"/>
          <w:sz w:val="24"/>
        </w:rPr>
        <w:t>行业</w:t>
      </w:r>
      <w:r w:rsidR="00B43D71">
        <w:rPr>
          <w:rFonts w:hint="eastAsia"/>
          <w:sz w:val="24"/>
        </w:rPr>
        <w:t>起到</w:t>
      </w:r>
      <w:r w:rsidRPr="00682653">
        <w:rPr>
          <w:rFonts w:hint="eastAsia"/>
          <w:sz w:val="24"/>
        </w:rPr>
        <w:t>规范作用，又</w:t>
      </w:r>
      <w:r w:rsidR="00B43D71">
        <w:rPr>
          <w:rFonts w:hint="eastAsia"/>
          <w:sz w:val="24"/>
        </w:rPr>
        <w:t>要引领行业发展</w:t>
      </w:r>
      <w:r w:rsidR="0032620A" w:rsidRPr="0032620A">
        <w:rPr>
          <w:rFonts w:hint="eastAsia"/>
          <w:sz w:val="24"/>
        </w:rPr>
        <w:t>。</w:t>
      </w:r>
    </w:p>
    <w:p w14:paraId="2B076424" w14:textId="77777777" w:rsidR="00282016" w:rsidRDefault="00000000">
      <w:pPr>
        <w:pStyle w:val="2"/>
        <w:rPr>
          <w:rFonts w:ascii="Times New Roman" w:hAnsi="Times New Roman"/>
        </w:rPr>
      </w:pPr>
      <w:bookmarkStart w:id="23" w:name="_Toc176255784"/>
      <w:r>
        <w:rPr>
          <w:rFonts w:ascii="Times New Roman" w:hAnsi="Times New Roman"/>
        </w:rPr>
        <w:t xml:space="preserve">2. </w:t>
      </w:r>
      <w:r>
        <w:rPr>
          <w:rFonts w:ascii="Times New Roman" w:hAnsi="Times New Roman"/>
        </w:rPr>
        <w:t>主要内容及其确定依据</w:t>
      </w:r>
      <w:bookmarkEnd w:id="23"/>
      <w:r>
        <w:rPr>
          <w:rFonts w:ascii="Times New Roman" w:hAnsi="Times New Roman"/>
        </w:rPr>
        <w:t xml:space="preserve">  </w:t>
      </w:r>
    </w:p>
    <w:p w14:paraId="0D7F51DF" w14:textId="24A2829B" w:rsidR="000D2117" w:rsidRPr="000D2117" w:rsidRDefault="000D2117" w:rsidP="000D2117">
      <w:pPr>
        <w:pStyle w:val="3"/>
      </w:pPr>
      <w:bookmarkStart w:id="24" w:name="_Toc176255785"/>
      <w:r w:rsidRPr="000D2117">
        <w:t>2.</w:t>
      </w:r>
      <w:r w:rsidR="00233C6F">
        <w:rPr>
          <w:rFonts w:hint="eastAsia"/>
        </w:rPr>
        <w:t>1</w:t>
      </w:r>
      <w:r w:rsidRPr="000D2117">
        <w:t xml:space="preserve">  </w:t>
      </w:r>
      <w:r w:rsidR="00317D27">
        <w:rPr>
          <w:rFonts w:hint="eastAsia"/>
        </w:rPr>
        <w:t>“</w:t>
      </w:r>
      <w:r w:rsidR="00317D27">
        <w:rPr>
          <w:rFonts w:hint="eastAsia"/>
        </w:rPr>
        <w:t xml:space="preserve">1 </w:t>
      </w:r>
      <w:r w:rsidR="008F7865">
        <w:rPr>
          <w:rFonts w:hint="eastAsia"/>
        </w:rPr>
        <w:t>范围</w:t>
      </w:r>
      <w:r w:rsidR="00317D27">
        <w:rPr>
          <w:rFonts w:hint="eastAsia"/>
        </w:rPr>
        <w:t>”</w:t>
      </w:r>
      <w:bookmarkEnd w:id="24"/>
    </w:p>
    <w:p w14:paraId="699A5C30" w14:textId="1A54208F" w:rsidR="000D2117" w:rsidRDefault="00D2033F" w:rsidP="000D2117">
      <w:pPr>
        <w:snapToGrid w:val="0"/>
        <w:spacing w:line="360" w:lineRule="auto"/>
        <w:ind w:firstLineChars="200" w:firstLine="480"/>
        <w:rPr>
          <w:sz w:val="24"/>
        </w:rPr>
      </w:pPr>
      <w:r>
        <w:rPr>
          <w:rFonts w:hint="eastAsia"/>
          <w:sz w:val="24"/>
        </w:rPr>
        <w:t>本文件为产品标准，“范围”第一段写明了规定的内容，即对产品的</w:t>
      </w:r>
      <w:r w:rsidRPr="00D2033F">
        <w:rPr>
          <w:rFonts w:hint="eastAsia"/>
          <w:sz w:val="24"/>
        </w:rPr>
        <w:t>技术要求、生产加工过程的卫生要求、检验规则以及标签、包装、运输、贮存</w:t>
      </w:r>
      <w:r>
        <w:rPr>
          <w:rFonts w:hint="eastAsia"/>
          <w:sz w:val="24"/>
        </w:rPr>
        <w:t>等方面内容做出了规定与要求。需要注意的是，本文件规定的产品为“</w:t>
      </w:r>
      <w:r w:rsidRPr="00D2033F">
        <w:rPr>
          <w:rFonts w:hint="eastAsia"/>
          <w:sz w:val="24"/>
        </w:rPr>
        <w:t>非变性Ⅱ型胶原蛋白</w:t>
      </w:r>
      <w:r>
        <w:rPr>
          <w:rFonts w:hint="eastAsia"/>
          <w:sz w:val="24"/>
        </w:rPr>
        <w:t>”，其中也包括“</w:t>
      </w:r>
      <w:r w:rsidRPr="00D2033F">
        <w:rPr>
          <w:rFonts w:hint="eastAsia"/>
          <w:sz w:val="24"/>
        </w:rPr>
        <w:t>Ⅱ型胶原蛋白软骨粉</w:t>
      </w:r>
      <w:r>
        <w:rPr>
          <w:rFonts w:hint="eastAsia"/>
          <w:sz w:val="24"/>
        </w:rPr>
        <w:t>”，故用括号的表述形式加以说明。另外，本文件还建立了</w:t>
      </w:r>
      <w:r w:rsidRPr="00D2033F">
        <w:rPr>
          <w:rFonts w:hint="eastAsia"/>
          <w:sz w:val="24"/>
        </w:rPr>
        <w:t>非变性Ⅱ型胶原蛋白</w:t>
      </w:r>
      <w:r>
        <w:rPr>
          <w:rFonts w:hint="eastAsia"/>
          <w:sz w:val="24"/>
        </w:rPr>
        <w:t>产品的检测方法，并作为规范性附录列出，在“范围”中也表述说明一下。</w:t>
      </w:r>
    </w:p>
    <w:p w14:paraId="3E798646" w14:textId="3A6300C8" w:rsidR="00D2033F" w:rsidRPr="004F6391" w:rsidRDefault="004F6391" w:rsidP="004F6391">
      <w:pPr>
        <w:snapToGrid w:val="0"/>
        <w:spacing w:line="360" w:lineRule="auto"/>
        <w:ind w:firstLineChars="200" w:firstLine="480"/>
        <w:rPr>
          <w:sz w:val="24"/>
        </w:rPr>
      </w:pPr>
      <w:r>
        <w:rPr>
          <w:rFonts w:hint="eastAsia"/>
          <w:sz w:val="24"/>
        </w:rPr>
        <w:t>“范围”第二段写明了适用范围，即本文件可用于</w:t>
      </w:r>
      <w:r w:rsidRPr="004F6391">
        <w:rPr>
          <w:rFonts w:hint="eastAsia"/>
          <w:sz w:val="24"/>
        </w:rPr>
        <w:t>非变性Ⅱ型胶原蛋白产品的生产和质量评价</w:t>
      </w:r>
      <w:r>
        <w:rPr>
          <w:rFonts w:hint="eastAsia"/>
          <w:sz w:val="24"/>
        </w:rPr>
        <w:t>，并对</w:t>
      </w:r>
      <w:r w:rsidRPr="004F6391">
        <w:rPr>
          <w:rFonts w:hint="eastAsia"/>
          <w:sz w:val="24"/>
        </w:rPr>
        <w:t>非变性Ⅱ型胶原蛋白</w:t>
      </w:r>
      <w:r>
        <w:rPr>
          <w:rFonts w:hint="eastAsia"/>
          <w:sz w:val="24"/>
        </w:rPr>
        <w:t>进行展开说明，即</w:t>
      </w:r>
      <w:r w:rsidRPr="004F6391">
        <w:rPr>
          <w:rFonts w:hint="eastAsia"/>
          <w:sz w:val="24"/>
        </w:rPr>
        <w:t>以鸡胸软骨为原料，经清洗、消毒、粉碎后加入氯化钾、在低温（≤</w:t>
      </w:r>
      <w:r w:rsidRPr="004F6391">
        <w:rPr>
          <w:rFonts w:hint="eastAsia"/>
          <w:sz w:val="24"/>
        </w:rPr>
        <w:t>45</w:t>
      </w:r>
      <w:r w:rsidRPr="004F6391">
        <w:rPr>
          <w:rFonts w:hint="eastAsia"/>
          <w:sz w:val="24"/>
        </w:rPr>
        <w:t>℃）条件下干燥、包装等生产工艺制成的</w:t>
      </w:r>
      <w:r>
        <w:rPr>
          <w:rFonts w:hint="eastAsia"/>
          <w:sz w:val="24"/>
        </w:rPr>
        <w:t>产品，此处与后文“术语和定义”中相对应，在此处展开说明是为了让标准使用者更加清晰的了解和适用本文件。</w:t>
      </w:r>
    </w:p>
    <w:p w14:paraId="61CF8729" w14:textId="195D9491" w:rsidR="000D2117" w:rsidRPr="000D2117" w:rsidRDefault="000D2117" w:rsidP="000D2117">
      <w:pPr>
        <w:pStyle w:val="3"/>
      </w:pPr>
      <w:bookmarkStart w:id="25" w:name="_Toc176255786"/>
      <w:r w:rsidRPr="000D2117">
        <w:t>2.</w:t>
      </w:r>
      <w:r w:rsidR="009E5038">
        <w:rPr>
          <w:rFonts w:hint="eastAsia"/>
        </w:rPr>
        <w:t>2</w:t>
      </w:r>
      <w:r w:rsidRPr="000D2117">
        <w:t xml:space="preserve">  </w:t>
      </w:r>
      <w:r w:rsidR="00317D27">
        <w:rPr>
          <w:rFonts w:hint="eastAsia"/>
        </w:rPr>
        <w:t>“</w:t>
      </w:r>
      <w:r w:rsidR="00317D27">
        <w:rPr>
          <w:rFonts w:hint="eastAsia"/>
        </w:rPr>
        <w:t xml:space="preserve">3 </w:t>
      </w:r>
      <w:r w:rsidR="00771913">
        <w:rPr>
          <w:rFonts w:hint="eastAsia"/>
        </w:rPr>
        <w:t>术语和定义</w:t>
      </w:r>
      <w:r w:rsidR="00317D27">
        <w:rPr>
          <w:rFonts w:hint="eastAsia"/>
        </w:rPr>
        <w:t>”</w:t>
      </w:r>
      <w:bookmarkEnd w:id="25"/>
    </w:p>
    <w:p w14:paraId="2477B979" w14:textId="78D0CBFC" w:rsidR="008F59F3" w:rsidRPr="00DA7054" w:rsidRDefault="00771913" w:rsidP="00DA7054">
      <w:pPr>
        <w:snapToGrid w:val="0"/>
        <w:spacing w:line="360" w:lineRule="auto"/>
        <w:ind w:firstLineChars="200" w:firstLine="480"/>
        <w:rPr>
          <w:rFonts w:asciiTheme="minorEastAsia" w:eastAsiaTheme="minorEastAsia" w:hAnsiTheme="minorEastAsia" w:hint="eastAsia"/>
          <w:color w:val="000000"/>
          <w:sz w:val="24"/>
        </w:rPr>
      </w:pPr>
      <w:r>
        <w:rPr>
          <w:rFonts w:hint="eastAsia"/>
          <w:sz w:val="24"/>
        </w:rPr>
        <w:t>本文件只列出了“</w:t>
      </w:r>
      <w:r w:rsidRPr="00771913">
        <w:rPr>
          <w:rFonts w:hint="eastAsia"/>
          <w:sz w:val="24"/>
        </w:rPr>
        <w:t>非变性Ⅱ型胶原蛋白</w:t>
      </w:r>
      <w:r>
        <w:rPr>
          <w:rFonts w:hint="eastAsia"/>
          <w:sz w:val="24"/>
        </w:rPr>
        <w:t>”的术语和定义，目的是方便标准使用者了解该产品</w:t>
      </w:r>
      <w:r w:rsidR="002646EA" w:rsidRPr="002646EA">
        <w:rPr>
          <w:rFonts w:hint="eastAsia"/>
          <w:sz w:val="24"/>
        </w:rPr>
        <w:t>。</w:t>
      </w:r>
      <w:r w:rsidR="007E0EE4">
        <w:rPr>
          <w:rFonts w:hint="eastAsia"/>
          <w:sz w:val="24"/>
        </w:rPr>
        <w:t>该定义参考了众多</w:t>
      </w:r>
      <w:r w:rsidR="007E0EE4" w:rsidRPr="000D04A0">
        <w:rPr>
          <w:rFonts w:asciiTheme="minorEastAsia" w:eastAsiaTheme="minorEastAsia" w:hAnsiTheme="minorEastAsia" w:hint="eastAsia"/>
          <w:color w:val="000000"/>
          <w:sz w:val="24"/>
        </w:rPr>
        <w:t>根据国内外文献的论述</w:t>
      </w:r>
      <w:r w:rsidR="007E0EE4">
        <w:rPr>
          <w:rFonts w:asciiTheme="minorEastAsia" w:eastAsiaTheme="minorEastAsia" w:hAnsiTheme="minorEastAsia" w:hint="eastAsia"/>
          <w:color w:val="000000"/>
          <w:sz w:val="24"/>
        </w:rPr>
        <w:t>，经专家们多次讨论，最终整理修改而成。</w:t>
      </w:r>
      <w:r w:rsidR="00DA7054">
        <w:rPr>
          <w:rFonts w:asciiTheme="minorEastAsia" w:eastAsiaTheme="minorEastAsia" w:hAnsiTheme="minorEastAsia" w:hint="eastAsia"/>
          <w:color w:val="000000"/>
          <w:sz w:val="24"/>
        </w:rPr>
        <w:t>其中，</w:t>
      </w:r>
      <w:r w:rsidR="00DA7054" w:rsidRPr="00DA7054">
        <w:rPr>
          <w:rFonts w:asciiTheme="minorEastAsia" w:eastAsiaTheme="minorEastAsia" w:hAnsiTheme="minorEastAsia" w:hint="eastAsia"/>
          <w:color w:val="000000"/>
          <w:sz w:val="24"/>
        </w:rPr>
        <w:t>魏永泽</w:t>
      </w:r>
      <w:r w:rsidR="00DA7054">
        <w:rPr>
          <w:rFonts w:asciiTheme="minorEastAsia" w:eastAsiaTheme="minorEastAsia" w:hAnsiTheme="minorEastAsia" w:hint="eastAsia"/>
          <w:color w:val="000000"/>
          <w:sz w:val="24"/>
        </w:rPr>
        <w:t>在《</w:t>
      </w:r>
      <w:r w:rsidR="00DA7054" w:rsidRPr="00DA7054">
        <w:rPr>
          <w:rFonts w:asciiTheme="minorEastAsia" w:eastAsiaTheme="minorEastAsia" w:hAnsiTheme="minorEastAsia" w:hint="eastAsia"/>
          <w:color w:val="000000"/>
          <w:sz w:val="24"/>
        </w:rPr>
        <w:t>非变性Ⅱ型胶原蛋白提取工艺优化及质量验证</w:t>
      </w:r>
      <w:r w:rsidR="00DA7054">
        <w:rPr>
          <w:rFonts w:asciiTheme="minorEastAsia" w:eastAsiaTheme="minorEastAsia" w:hAnsiTheme="minorEastAsia" w:hint="eastAsia"/>
          <w:color w:val="000000"/>
          <w:sz w:val="24"/>
        </w:rPr>
        <w:t>》一文中，</w:t>
      </w:r>
      <w:r w:rsidR="00DA7054" w:rsidRPr="00DA7054">
        <w:rPr>
          <w:rFonts w:asciiTheme="minorEastAsia" w:eastAsiaTheme="minorEastAsia" w:hAnsiTheme="minorEastAsia" w:hint="eastAsia"/>
          <w:color w:val="000000"/>
          <w:sz w:val="24"/>
        </w:rPr>
        <w:t>以新鲜鸡胸软骨作为原材料，清洗灭菌后进行破碎处理，经中性盐及碱共作用的方法进行预处理后，使用酸法及酶法相结合的提取方法添加胃蛋白酶提取</w:t>
      </w:r>
      <w:r w:rsidR="00DA7054">
        <w:rPr>
          <w:rFonts w:asciiTheme="minorEastAsia" w:eastAsiaTheme="minorEastAsia" w:hAnsiTheme="minorEastAsia" w:hint="eastAsia"/>
          <w:color w:val="000000"/>
          <w:sz w:val="24"/>
        </w:rPr>
        <w:t>了</w:t>
      </w:r>
      <w:r w:rsidR="00DA7054" w:rsidRPr="00DA7054">
        <w:rPr>
          <w:rFonts w:asciiTheme="minorEastAsia" w:eastAsiaTheme="minorEastAsia" w:hAnsiTheme="minorEastAsia" w:hint="eastAsia"/>
          <w:color w:val="000000"/>
          <w:sz w:val="24"/>
        </w:rPr>
        <w:t>非变性Ⅱ型胶原蛋白</w:t>
      </w:r>
      <w:r w:rsidR="00DA7054">
        <w:rPr>
          <w:rFonts w:asciiTheme="minorEastAsia" w:eastAsiaTheme="minorEastAsia" w:hAnsiTheme="minorEastAsia" w:hint="eastAsia"/>
          <w:color w:val="000000"/>
          <w:sz w:val="24"/>
        </w:rPr>
        <w:t>，指出</w:t>
      </w:r>
      <w:r w:rsidR="00DA7054" w:rsidRPr="00DA7054">
        <w:rPr>
          <w:rFonts w:asciiTheme="minorEastAsia" w:eastAsiaTheme="minorEastAsia" w:hAnsiTheme="minorEastAsia" w:hint="eastAsia"/>
          <w:color w:val="000000"/>
          <w:sz w:val="24"/>
        </w:rPr>
        <w:t>Ⅱ型胶原蛋白作为关节软骨细胞外间充质的主要结构性成分，其分子结构主要由3条相同的α1(Ⅱ)链以三螺旋的方式构成</w:t>
      </w:r>
      <w:r w:rsidR="00DA7054">
        <w:rPr>
          <w:rFonts w:asciiTheme="minorEastAsia" w:eastAsiaTheme="minorEastAsia" w:hAnsiTheme="minorEastAsia" w:hint="eastAsia"/>
          <w:color w:val="000000"/>
          <w:sz w:val="24"/>
        </w:rPr>
        <w:t>。</w:t>
      </w:r>
      <w:r w:rsidR="00DA7054" w:rsidRPr="00DA7054">
        <w:rPr>
          <w:rFonts w:asciiTheme="minorEastAsia" w:eastAsiaTheme="minorEastAsia" w:hAnsiTheme="minorEastAsia" w:hint="eastAsia"/>
          <w:color w:val="000000"/>
          <w:sz w:val="24"/>
        </w:rPr>
        <w:t>周舒扬</w:t>
      </w:r>
      <w:r w:rsidR="00DA7054">
        <w:rPr>
          <w:rFonts w:asciiTheme="minorEastAsia" w:eastAsiaTheme="minorEastAsia" w:hAnsiTheme="minorEastAsia" w:hint="eastAsia"/>
          <w:color w:val="000000"/>
          <w:sz w:val="24"/>
        </w:rPr>
        <w:t>在《</w:t>
      </w:r>
      <w:r w:rsidR="00DA7054" w:rsidRPr="00DA7054">
        <w:rPr>
          <w:rFonts w:asciiTheme="minorEastAsia" w:eastAsiaTheme="minorEastAsia" w:hAnsiTheme="minorEastAsia" w:hint="eastAsia"/>
          <w:color w:val="000000"/>
          <w:sz w:val="24"/>
        </w:rPr>
        <w:t>高效液相色谱法测定非变性Ⅱ型胶原蛋白含量的研究</w:t>
      </w:r>
      <w:r w:rsidR="00DA7054">
        <w:rPr>
          <w:rFonts w:asciiTheme="minorEastAsia" w:eastAsiaTheme="minorEastAsia" w:hAnsiTheme="minorEastAsia" w:hint="eastAsia"/>
          <w:color w:val="000000"/>
          <w:sz w:val="24"/>
        </w:rPr>
        <w:t>》一文中指出，</w:t>
      </w:r>
      <w:r w:rsidR="00DA7054" w:rsidRPr="00DA7054">
        <w:rPr>
          <w:rFonts w:asciiTheme="minorEastAsia" w:eastAsiaTheme="minorEastAsia" w:hAnsiTheme="minorEastAsia" w:hint="eastAsia"/>
          <w:color w:val="000000"/>
          <w:sz w:val="24"/>
        </w:rPr>
        <w:t>胶原蛋白为三螺旋结构，不同类型的胶原蛋白在分布上有着不同的特点，性质上也存在不同</w:t>
      </w:r>
      <w:r w:rsidR="00DA7054">
        <w:rPr>
          <w:rFonts w:asciiTheme="minorEastAsia" w:eastAsiaTheme="minorEastAsia" w:hAnsiTheme="minorEastAsia" w:hint="eastAsia"/>
          <w:color w:val="000000"/>
          <w:sz w:val="24"/>
        </w:rPr>
        <w:t>，</w:t>
      </w:r>
      <w:r w:rsidR="00DA7054" w:rsidRPr="00DA7054">
        <w:rPr>
          <w:rFonts w:asciiTheme="minorEastAsia" w:eastAsiaTheme="minorEastAsia" w:hAnsiTheme="minorEastAsia" w:hint="eastAsia"/>
          <w:color w:val="000000"/>
          <w:sz w:val="24"/>
        </w:rPr>
        <w:t>其中，Ⅱ型胶原蛋白具有致密的纤维结构，与多糖紧密结合，使软骨具有柔韧性，可以吸收冲击和承受负载。研究结</w:t>
      </w:r>
      <w:r w:rsidR="00DA7054" w:rsidRPr="00DA7054">
        <w:rPr>
          <w:rFonts w:asciiTheme="minorEastAsia" w:eastAsiaTheme="minorEastAsia" w:hAnsiTheme="minorEastAsia" w:hint="eastAsia"/>
          <w:color w:val="000000"/>
          <w:sz w:val="24"/>
        </w:rPr>
        <w:lastRenderedPageBreak/>
        <w:t>果表明，非变性Ⅱ型胶原蛋白（保持完整三螺旋结构的 II 型胶原蛋白）在预防和改善关节炎方面具有良好的效果</w:t>
      </w:r>
      <w:r w:rsidR="00DA7054">
        <w:rPr>
          <w:rFonts w:asciiTheme="minorEastAsia" w:eastAsiaTheme="minorEastAsia" w:hAnsiTheme="minorEastAsia" w:hint="eastAsia"/>
          <w:color w:val="000000"/>
          <w:sz w:val="24"/>
        </w:rPr>
        <w:t>。</w:t>
      </w:r>
      <w:r w:rsidR="006F570C">
        <w:rPr>
          <w:rFonts w:asciiTheme="minorEastAsia" w:eastAsiaTheme="minorEastAsia" w:hAnsiTheme="minorEastAsia" w:hint="eastAsia"/>
          <w:color w:val="000000"/>
          <w:sz w:val="24"/>
        </w:rPr>
        <w:t>特别注意的是，从基因表达的角度</w:t>
      </w:r>
      <w:r w:rsidR="00EF0895">
        <w:rPr>
          <w:rFonts w:asciiTheme="minorEastAsia" w:eastAsiaTheme="minorEastAsia" w:hAnsiTheme="minorEastAsia" w:hint="eastAsia"/>
          <w:color w:val="000000"/>
          <w:sz w:val="24"/>
        </w:rPr>
        <w:t>层面，</w:t>
      </w:r>
      <w:r w:rsidR="00EF0895" w:rsidRPr="00EF0895">
        <w:rPr>
          <w:rFonts w:asciiTheme="minorEastAsia" w:eastAsiaTheme="minorEastAsia" w:hAnsiTheme="minorEastAsia" w:hint="eastAsia"/>
          <w:color w:val="000000"/>
          <w:sz w:val="24"/>
        </w:rPr>
        <w:t>非变性Ⅱ型胶原蛋白</w:t>
      </w:r>
      <w:r w:rsidR="00EF0895">
        <w:rPr>
          <w:rFonts w:asciiTheme="minorEastAsia" w:eastAsiaTheme="minorEastAsia" w:hAnsiTheme="minorEastAsia" w:hint="eastAsia"/>
          <w:color w:val="000000"/>
          <w:sz w:val="24"/>
        </w:rPr>
        <w:t>需要含</w:t>
      </w:r>
      <w:r w:rsidR="00EF0895" w:rsidRPr="00EF0895">
        <w:rPr>
          <w:rFonts w:asciiTheme="minorEastAsia" w:eastAsiaTheme="minorEastAsia" w:hAnsiTheme="minorEastAsia" w:hint="eastAsia"/>
          <w:color w:val="000000"/>
          <w:sz w:val="24"/>
        </w:rPr>
        <w:t>由编码alpha链的COL2A1基因表达的</w:t>
      </w:r>
      <w:r w:rsidR="00EF0895">
        <w:rPr>
          <w:rFonts w:asciiTheme="minorEastAsia" w:eastAsiaTheme="minorEastAsia" w:hAnsiTheme="minorEastAsia" w:hint="eastAsia"/>
          <w:color w:val="000000"/>
          <w:sz w:val="24"/>
        </w:rPr>
        <w:t>蛋白质，这也作为重点体现在了定义中。</w:t>
      </w:r>
    </w:p>
    <w:p w14:paraId="39BEB44F" w14:textId="67AC01B4" w:rsidR="00EF758F" w:rsidRDefault="00EF758F" w:rsidP="000D2117">
      <w:pPr>
        <w:pStyle w:val="3"/>
      </w:pPr>
      <w:bookmarkStart w:id="26" w:name="_Toc176255787"/>
      <w:bookmarkStart w:id="27" w:name="_Toc166822770"/>
      <w:bookmarkStart w:id="28" w:name="_Toc166823063"/>
      <w:r w:rsidRPr="000D2117">
        <w:t>2.</w:t>
      </w:r>
      <w:r>
        <w:rPr>
          <w:rFonts w:hint="eastAsia"/>
        </w:rPr>
        <w:t>3</w:t>
      </w:r>
      <w:r w:rsidRPr="000D2117">
        <w:t xml:space="preserve">  </w:t>
      </w:r>
      <w:r w:rsidR="00317D27">
        <w:rPr>
          <w:rFonts w:hint="eastAsia"/>
        </w:rPr>
        <w:t>“</w:t>
      </w:r>
      <w:r w:rsidR="00317D27">
        <w:rPr>
          <w:rFonts w:hint="eastAsia"/>
        </w:rPr>
        <w:t xml:space="preserve">4 </w:t>
      </w:r>
      <w:r w:rsidR="00317D27">
        <w:rPr>
          <w:rFonts w:hint="eastAsia"/>
        </w:rPr>
        <w:t>技术要求”</w:t>
      </w:r>
      <w:bookmarkEnd w:id="26"/>
    </w:p>
    <w:p w14:paraId="25477AC4" w14:textId="2F723102" w:rsidR="000D2117" w:rsidRPr="000D2117" w:rsidRDefault="000D2117" w:rsidP="000D2117">
      <w:pPr>
        <w:pStyle w:val="3"/>
      </w:pPr>
      <w:bookmarkStart w:id="29" w:name="_Toc172793125"/>
      <w:bookmarkStart w:id="30" w:name="_Toc174104486"/>
      <w:bookmarkStart w:id="31" w:name="_Toc176255788"/>
      <w:r w:rsidRPr="000D2117">
        <w:t>2.</w:t>
      </w:r>
      <w:r w:rsidR="00B05EF2">
        <w:rPr>
          <w:rFonts w:hint="eastAsia"/>
        </w:rPr>
        <w:t>3</w:t>
      </w:r>
      <w:r w:rsidRPr="000D2117">
        <w:rPr>
          <w:rFonts w:hint="eastAsia"/>
        </w:rPr>
        <w:t>.</w:t>
      </w:r>
      <w:r w:rsidRPr="000D2117">
        <w:t>1  “</w:t>
      </w:r>
      <w:r w:rsidR="00317D27">
        <w:rPr>
          <w:rFonts w:hint="eastAsia"/>
        </w:rPr>
        <w:t>4</w:t>
      </w:r>
      <w:r w:rsidR="00B05EF2">
        <w:rPr>
          <w:rFonts w:hint="eastAsia"/>
        </w:rPr>
        <w:t xml:space="preserve">.1 </w:t>
      </w:r>
      <w:r w:rsidR="00317D27">
        <w:rPr>
          <w:rFonts w:hint="eastAsia"/>
        </w:rPr>
        <w:t>原辅料</w:t>
      </w:r>
      <w:r w:rsidRPr="000D2117">
        <w:t>”</w:t>
      </w:r>
      <w:bookmarkEnd w:id="27"/>
      <w:bookmarkEnd w:id="28"/>
      <w:bookmarkEnd w:id="29"/>
      <w:bookmarkEnd w:id="30"/>
      <w:bookmarkEnd w:id="31"/>
    </w:p>
    <w:p w14:paraId="423D656E" w14:textId="6A025E33" w:rsidR="000D2117" w:rsidRDefault="00317D27" w:rsidP="000D2117">
      <w:pPr>
        <w:snapToGrid w:val="0"/>
        <w:spacing w:line="360" w:lineRule="auto"/>
        <w:ind w:firstLineChars="200" w:firstLine="480"/>
        <w:rPr>
          <w:sz w:val="24"/>
        </w:rPr>
      </w:pPr>
      <w:r>
        <w:rPr>
          <w:rFonts w:hint="eastAsia"/>
          <w:sz w:val="24"/>
        </w:rPr>
        <w:t>本产品的主要原料为鸡胸软骨，辅料为水和相应的食品添加剂，以上原辅料的质量要求均有相应的国家标准进行规定，</w:t>
      </w:r>
      <w:r w:rsidR="00850C9C">
        <w:rPr>
          <w:rFonts w:hint="eastAsia"/>
          <w:sz w:val="24"/>
        </w:rPr>
        <w:t>选择适合的标准，</w:t>
      </w:r>
      <w:r>
        <w:rPr>
          <w:rFonts w:hint="eastAsia"/>
          <w:sz w:val="24"/>
        </w:rPr>
        <w:t>在本文件中</w:t>
      </w:r>
      <w:r w:rsidR="00850C9C">
        <w:rPr>
          <w:rFonts w:hint="eastAsia"/>
          <w:sz w:val="24"/>
        </w:rPr>
        <w:t>依次</w:t>
      </w:r>
      <w:r>
        <w:rPr>
          <w:rFonts w:hint="eastAsia"/>
          <w:sz w:val="24"/>
        </w:rPr>
        <w:t>罗列即可</w:t>
      </w:r>
      <w:r w:rsidR="000D2117" w:rsidRPr="000D2117">
        <w:rPr>
          <w:rFonts w:hint="eastAsia"/>
          <w:sz w:val="24"/>
        </w:rPr>
        <w:t>。</w:t>
      </w:r>
      <w:r w:rsidR="00850C9C">
        <w:rPr>
          <w:rFonts w:hint="eastAsia"/>
          <w:sz w:val="24"/>
        </w:rPr>
        <w:t>值得注意的是，所列标准均为强制性国家标准。</w:t>
      </w:r>
    </w:p>
    <w:p w14:paraId="397EE46A" w14:textId="7A12D45B" w:rsidR="00317D27" w:rsidRDefault="00317D27" w:rsidP="009521C8">
      <w:pPr>
        <w:snapToGrid w:val="0"/>
        <w:spacing w:line="360" w:lineRule="auto"/>
        <w:ind w:firstLineChars="200" w:firstLine="480"/>
        <w:rPr>
          <w:sz w:val="24"/>
        </w:rPr>
      </w:pPr>
      <w:r w:rsidRPr="009521C8">
        <w:rPr>
          <w:rFonts w:hint="eastAsia"/>
          <w:sz w:val="24"/>
        </w:rPr>
        <w:t>鸡胸软骨应符合</w:t>
      </w:r>
      <w:r w:rsidRPr="009521C8">
        <w:rPr>
          <w:sz w:val="24"/>
        </w:rPr>
        <w:t xml:space="preserve">GB </w:t>
      </w:r>
      <w:r w:rsidRPr="009521C8">
        <w:rPr>
          <w:rFonts w:hint="eastAsia"/>
          <w:sz w:val="24"/>
        </w:rPr>
        <w:t>2707</w:t>
      </w:r>
      <w:r w:rsidRPr="009521C8">
        <w:rPr>
          <w:rFonts w:hint="eastAsia"/>
          <w:sz w:val="24"/>
        </w:rPr>
        <w:t>《食品安全国家标准</w:t>
      </w:r>
      <w:r w:rsidRPr="009521C8">
        <w:rPr>
          <w:rFonts w:hint="eastAsia"/>
          <w:sz w:val="24"/>
        </w:rPr>
        <w:t xml:space="preserve"> </w:t>
      </w:r>
      <w:r w:rsidRPr="009521C8">
        <w:rPr>
          <w:rFonts w:hint="eastAsia"/>
          <w:sz w:val="24"/>
        </w:rPr>
        <w:t>鲜（冻）畜、禽产品》的规定</w:t>
      </w:r>
      <w:r w:rsidR="0074554B">
        <w:rPr>
          <w:rFonts w:hint="eastAsia"/>
          <w:sz w:val="24"/>
        </w:rPr>
        <w:t>。该</w:t>
      </w:r>
      <w:r w:rsidR="00B571E5">
        <w:rPr>
          <w:rFonts w:hint="eastAsia"/>
          <w:sz w:val="24"/>
        </w:rPr>
        <w:t>标准</w:t>
      </w:r>
      <w:r w:rsidR="009521C8" w:rsidRPr="009521C8">
        <w:rPr>
          <w:rFonts w:hint="eastAsia"/>
          <w:sz w:val="24"/>
        </w:rPr>
        <w:t>适用于鲜</w:t>
      </w:r>
      <w:r w:rsidR="009521C8" w:rsidRPr="009521C8">
        <w:rPr>
          <w:rFonts w:hint="eastAsia"/>
          <w:sz w:val="24"/>
        </w:rPr>
        <w:t>(</w:t>
      </w:r>
      <w:r w:rsidR="009521C8" w:rsidRPr="009521C8">
        <w:rPr>
          <w:rFonts w:hint="eastAsia"/>
          <w:sz w:val="24"/>
        </w:rPr>
        <w:t>冻</w:t>
      </w:r>
      <w:r w:rsidR="009521C8" w:rsidRPr="009521C8">
        <w:rPr>
          <w:rFonts w:hint="eastAsia"/>
          <w:sz w:val="24"/>
        </w:rPr>
        <w:t>)</w:t>
      </w:r>
      <w:r w:rsidR="009521C8" w:rsidRPr="009521C8">
        <w:rPr>
          <w:rFonts w:hint="eastAsia"/>
          <w:sz w:val="24"/>
        </w:rPr>
        <w:t>畜、禽产品</w:t>
      </w:r>
      <w:r w:rsidR="00B571E5">
        <w:rPr>
          <w:rFonts w:hint="eastAsia"/>
          <w:sz w:val="24"/>
        </w:rPr>
        <w:t>，包括</w:t>
      </w:r>
      <w:r w:rsidR="0074554B" w:rsidRPr="0074554B">
        <w:rPr>
          <w:rFonts w:hint="eastAsia"/>
          <w:sz w:val="24"/>
        </w:rPr>
        <w:t>活畜</w:t>
      </w:r>
      <w:r w:rsidR="0074554B" w:rsidRPr="0074554B">
        <w:rPr>
          <w:rFonts w:hint="eastAsia"/>
          <w:sz w:val="24"/>
        </w:rPr>
        <w:t>(</w:t>
      </w:r>
      <w:r w:rsidR="0074554B" w:rsidRPr="0074554B">
        <w:rPr>
          <w:rFonts w:hint="eastAsia"/>
          <w:sz w:val="24"/>
        </w:rPr>
        <w:t>猪、牛、羊、兔等</w:t>
      </w:r>
      <w:r w:rsidR="0074554B" w:rsidRPr="0074554B">
        <w:rPr>
          <w:rFonts w:hint="eastAsia"/>
          <w:sz w:val="24"/>
        </w:rPr>
        <w:t>)</w:t>
      </w:r>
      <w:r w:rsidR="0074554B" w:rsidRPr="0074554B">
        <w:rPr>
          <w:rFonts w:hint="eastAsia"/>
          <w:sz w:val="24"/>
        </w:rPr>
        <w:t>、禽</w:t>
      </w:r>
      <w:r w:rsidR="0074554B" w:rsidRPr="0074554B">
        <w:rPr>
          <w:rFonts w:hint="eastAsia"/>
          <w:sz w:val="24"/>
        </w:rPr>
        <w:t>(</w:t>
      </w:r>
      <w:r w:rsidR="0074554B" w:rsidRPr="0074554B">
        <w:rPr>
          <w:rFonts w:hint="eastAsia"/>
          <w:sz w:val="24"/>
        </w:rPr>
        <w:t>鸡、鸭、鹅等</w:t>
      </w:r>
      <w:r w:rsidR="0074554B" w:rsidRPr="0074554B">
        <w:rPr>
          <w:rFonts w:hint="eastAsia"/>
          <w:sz w:val="24"/>
        </w:rPr>
        <w:t>)</w:t>
      </w:r>
      <w:r w:rsidR="0074554B" w:rsidRPr="0074554B">
        <w:rPr>
          <w:rFonts w:hint="eastAsia"/>
          <w:sz w:val="24"/>
        </w:rPr>
        <w:t>宰杀、加工后</w:t>
      </w:r>
      <w:r w:rsidR="0074554B">
        <w:rPr>
          <w:rFonts w:hint="eastAsia"/>
          <w:sz w:val="24"/>
        </w:rPr>
        <w:t>，</w:t>
      </w:r>
      <w:r w:rsidR="0074554B" w:rsidRPr="0074554B">
        <w:rPr>
          <w:rFonts w:hint="eastAsia"/>
          <w:sz w:val="24"/>
        </w:rPr>
        <w:t>所得畜禽内脏、头、颈、尾、翅、脚</w:t>
      </w:r>
      <w:r w:rsidR="0074554B" w:rsidRPr="0074554B">
        <w:rPr>
          <w:rFonts w:hint="eastAsia"/>
          <w:sz w:val="24"/>
        </w:rPr>
        <w:t>(</w:t>
      </w:r>
      <w:r w:rsidR="0074554B" w:rsidRPr="0074554B">
        <w:rPr>
          <w:rFonts w:hint="eastAsia"/>
          <w:sz w:val="24"/>
        </w:rPr>
        <w:t>爪</w:t>
      </w:r>
      <w:r w:rsidR="0074554B" w:rsidRPr="0074554B">
        <w:rPr>
          <w:rFonts w:hint="eastAsia"/>
          <w:sz w:val="24"/>
        </w:rPr>
        <w:t>)</w:t>
      </w:r>
      <w:r w:rsidR="0074554B" w:rsidRPr="0074554B">
        <w:rPr>
          <w:rFonts w:hint="eastAsia"/>
          <w:sz w:val="24"/>
        </w:rPr>
        <w:t>等可食用的产品</w:t>
      </w:r>
      <w:r w:rsidR="00B571E5">
        <w:rPr>
          <w:rFonts w:hint="eastAsia"/>
          <w:sz w:val="24"/>
        </w:rPr>
        <w:t>，原料</w:t>
      </w:r>
      <w:r w:rsidR="00B571E5" w:rsidRPr="009521C8">
        <w:rPr>
          <w:rFonts w:hint="eastAsia"/>
          <w:sz w:val="24"/>
        </w:rPr>
        <w:t>鸡胸软骨</w:t>
      </w:r>
      <w:r w:rsidR="00B571E5">
        <w:rPr>
          <w:rFonts w:hint="eastAsia"/>
          <w:sz w:val="24"/>
        </w:rPr>
        <w:t>为鲜禽产品</w:t>
      </w:r>
      <w:r w:rsidR="0074554B">
        <w:rPr>
          <w:rFonts w:hint="eastAsia"/>
          <w:sz w:val="24"/>
        </w:rPr>
        <w:t>加工后所得</w:t>
      </w:r>
      <w:r w:rsidR="00B571E5">
        <w:rPr>
          <w:rFonts w:hint="eastAsia"/>
          <w:sz w:val="24"/>
        </w:rPr>
        <w:t>，</w:t>
      </w:r>
      <w:r w:rsidR="0074554B">
        <w:rPr>
          <w:rFonts w:hint="eastAsia"/>
          <w:sz w:val="24"/>
        </w:rPr>
        <w:t>术语畜、禽副产品，</w:t>
      </w:r>
      <w:r w:rsidR="00B571E5">
        <w:rPr>
          <w:rFonts w:hint="eastAsia"/>
          <w:sz w:val="24"/>
        </w:rPr>
        <w:t>在此范围内。</w:t>
      </w:r>
      <w:r w:rsidR="0074554B">
        <w:rPr>
          <w:rFonts w:hint="eastAsia"/>
          <w:sz w:val="24"/>
        </w:rPr>
        <w:t>该标准中对相关产品的技术要求进行了规定：原料要求为</w:t>
      </w:r>
      <w:r w:rsidR="0074554B" w:rsidRPr="0074554B">
        <w:rPr>
          <w:rFonts w:hint="eastAsia"/>
          <w:sz w:val="24"/>
        </w:rPr>
        <w:t>屠宰前的活畜、禽应经动物卫生监督机构检疫、检验合格</w:t>
      </w:r>
      <w:r w:rsidR="0074554B">
        <w:rPr>
          <w:rFonts w:hint="eastAsia"/>
          <w:sz w:val="24"/>
        </w:rPr>
        <w:t>；感官要求对产品色泽、气味、状态做了规定；理化指标要求挥发性盐基氮≤</w:t>
      </w:r>
      <w:r w:rsidR="0074554B">
        <w:rPr>
          <w:rFonts w:hint="eastAsia"/>
          <w:sz w:val="24"/>
        </w:rPr>
        <w:t>15mg/100g</w:t>
      </w:r>
      <w:r w:rsidR="0074554B">
        <w:rPr>
          <w:rFonts w:hint="eastAsia"/>
          <w:sz w:val="24"/>
        </w:rPr>
        <w:t>；污染物限量要求符合</w:t>
      </w:r>
      <w:r w:rsidR="0074554B" w:rsidRPr="0074554B">
        <w:rPr>
          <w:rFonts w:hint="eastAsia"/>
          <w:sz w:val="24"/>
        </w:rPr>
        <w:t>GB</w:t>
      </w:r>
      <w:r w:rsidR="0074554B">
        <w:rPr>
          <w:rFonts w:hint="eastAsia"/>
          <w:sz w:val="24"/>
        </w:rPr>
        <w:t xml:space="preserve"> </w:t>
      </w:r>
      <w:r w:rsidR="0074554B" w:rsidRPr="0074554B">
        <w:rPr>
          <w:rFonts w:hint="eastAsia"/>
          <w:sz w:val="24"/>
        </w:rPr>
        <w:t>2762</w:t>
      </w:r>
      <w:r w:rsidR="0074554B" w:rsidRPr="0074554B">
        <w:rPr>
          <w:rFonts w:hint="eastAsia"/>
          <w:sz w:val="24"/>
        </w:rPr>
        <w:t>中畜禽肉的规定</w:t>
      </w:r>
      <w:r w:rsidR="0074554B">
        <w:rPr>
          <w:rFonts w:hint="eastAsia"/>
          <w:sz w:val="24"/>
        </w:rPr>
        <w:t>；农药残留和兽药残留要求符合</w:t>
      </w:r>
      <w:r w:rsidR="007F72C7" w:rsidRPr="007F72C7">
        <w:rPr>
          <w:rFonts w:hint="eastAsia"/>
          <w:sz w:val="24"/>
        </w:rPr>
        <w:t>GB2763</w:t>
      </w:r>
      <w:r w:rsidR="007F72C7">
        <w:rPr>
          <w:rFonts w:hint="eastAsia"/>
          <w:sz w:val="24"/>
        </w:rPr>
        <w:t>和</w:t>
      </w:r>
      <w:r w:rsidR="007F72C7" w:rsidRPr="007F72C7">
        <w:rPr>
          <w:rFonts w:hint="eastAsia"/>
          <w:sz w:val="24"/>
        </w:rPr>
        <w:t>国家有关规定和公告</w:t>
      </w:r>
      <w:r w:rsidR="007F72C7">
        <w:rPr>
          <w:rFonts w:hint="eastAsia"/>
          <w:sz w:val="24"/>
        </w:rPr>
        <w:t>。</w:t>
      </w:r>
    </w:p>
    <w:p w14:paraId="7730C9D6" w14:textId="364F5393" w:rsidR="0070772F" w:rsidRDefault="0070772F" w:rsidP="0070772F">
      <w:pPr>
        <w:snapToGrid w:val="0"/>
        <w:spacing w:line="360" w:lineRule="auto"/>
        <w:ind w:firstLineChars="200" w:firstLine="480"/>
        <w:rPr>
          <w:sz w:val="24"/>
        </w:rPr>
      </w:pPr>
      <w:r>
        <w:rPr>
          <w:rFonts w:hint="eastAsia"/>
          <w:sz w:val="24"/>
        </w:rPr>
        <w:t>水</w:t>
      </w:r>
      <w:r w:rsidRPr="009521C8">
        <w:rPr>
          <w:rFonts w:hint="eastAsia"/>
          <w:sz w:val="24"/>
        </w:rPr>
        <w:t>应符合</w:t>
      </w:r>
      <w:r w:rsidRPr="009521C8">
        <w:rPr>
          <w:sz w:val="24"/>
        </w:rPr>
        <w:t xml:space="preserve">GB </w:t>
      </w:r>
      <w:r>
        <w:rPr>
          <w:rFonts w:hint="eastAsia"/>
          <w:sz w:val="24"/>
        </w:rPr>
        <w:t>5749</w:t>
      </w:r>
      <w:r w:rsidRPr="009521C8">
        <w:rPr>
          <w:rFonts w:hint="eastAsia"/>
          <w:sz w:val="24"/>
        </w:rPr>
        <w:t>《</w:t>
      </w:r>
      <w:r>
        <w:rPr>
          <w:rFonts w:hint="eastAsia"/>
          <w:sz w:val="24"/>
        </w:rPr>
        <w:t>生活饮用水卫生标准</w:t>
      </w:r>
      <w:r w:rsidRPr="009521C8">
        <w:rPr>
          <w:rFonts w:hint="eastAsia"/>
          <w:sz w:val="24"/>
        </w:rPr>
        <w:t>》的规定</w:t>
      </w:r>
      <w:r>
        <w:rPr>
          <w:rFonts w:hint="eastAsia"/>
          <w:sz w:val="24"/>
        </w:rPr>
        <w:t>。该标准</w:t>
      </w:r>
      <w:r w:rsidRPr="009521C8">
        <w:rPr>
          <w:rFonts w:hint="eastAsia"/>
          <w:sz w:val="24"/>
        </w:rPr>
        <w:t>适用于</w:t>
      </w:r>
      <w:r>
        <w:rPr>
          <w:rFonts w:hint="eastAsia"/>
          <w:sz w:val="24"/>
        </w:rPr>
        <w:t>各类生活饮用水，本产品中的水为食品生产原料，应符合相应规定。该标准中规定了生活饮用水水质常规指标及限值，包括各类微生物指标、毒理指标、感官性状和一般化学指标、放射性指标等，还包括水源水质要求、卫生要求等。</w:t>
      </w:r>
    </w:p>
    <w:p w14:paraId="1373A5E6" w14:textId="3CE5E9EB" w:rsidR="00B13F87" w:rsidRPr="00B13F87" w:rsidRDefault="00B13F87" w:rsidP="00B13F87">
      <w:pPr>
        <w:snapToGrid w:val="0"/>
        <w:spacing w:line="360" w:lineRule="auto"/>
        <w:ind w:firstLineChars="200" w:firstLine="480"/>
        <w:rPr>
          <w:sz w:val="24"/>
        </w:rPr>
      </w:pPr>
      <w:r>
        <w:rPr>
          <w:rFonts w:hint="eastAsia"/>
          <w:sz w:val="24"/>
        </w:rPr>
        <w:t>食品添加剂氯化钾</w:t>
      </w:r>
      <w:r w:rsidRPr="009521C8">
        <w:rPr>
          <w:rFonts w:hint="eastAsia"/>
          <w:sz w:val="24"/>
        </w:rPr>
        <w:t>应符合</w:t>
      </w:r>
      <w:r w:rsidRPr="009521C8">
        <w:rPr>
          <w:sz w:val="24"/>
        </w:rPr>
        <w:t xml:space="preserve">GB </w:t>
      </w:r>
      <w:r>
        <w:rPr>
          <w:rFonts w:hint="eastAsia"/>
          <w:sz w:val="24"/>
        </w:rPr>
        <w:t>25585</w:t>
      </w:r>
      <w:r w:rsidRPr="009521C8">
        <w:rPr>
          <w:rFonts w:hint="eastAsia"/>
          <w:sz w:val="24"/>
        </w:rPr>
        <w:t>《</w:t>
      </w:r>
      <w:r>
        <w:rPr>
          <w:rFonts w:hint="eastAsia"/>
          <w:sz w:val="24"/>
        </w:rPr>
        <w:t>食品安全国家标准</w:t>
      </w:r>
      <w:r>
        <w:rPr>
          <w:rFonts w:hint="eastAsia"/>
          <w:sz w:val="24"/>
        </w:rPr>
        <w:t xml:space="preserve"> </w:t>
      </w:r>
      <w:r>
        <w:rPr>
          <w:rFonts w:hint="eastAsia"/>
          <w:sz w:val="24"/>
        </w:rPr>
        <w:t>食品添加剂</w:t>
      </w:r>
      <w:r>
        <w:rPr>
          <w:rFonts w:hint="eastAsia"/>
          <w:sz w:val="24"/>
        </w:rPr>
        <w:t xml:space="preserve"> </w:t>
      </w:r>
      <w:r>
        <w:rPr>
          <w:rFonts w:hint="eastAsia"/>
          <w:sz w:val="24"/>
        </w:rPr>
        <w:t>氯化钾</w:t>
      </w:r>
      <w:r w:rsidRPr="009521C8">
        <w:rPr>
          <w:rFonts w:hint="eastAsia"/>
          <w:sz w:val="24"/>
        </w:rPr>
        <w:t>》的规定</w:t>
      </w:r>
      <w:r>
        <w:rPr>
          <w:rFonts w:hint="eastAsia"/>
          <w:sz w:val="24"/>
        </w:rPr>
        <w:t>。该标准</w:t>
      </w:r>
      <w:r w:rsidRPr="009521C8">
        <w:rPr>
          <w:rFonts w:hint="eastAsia"/>
          <w:sz w:val="24"/>
        </w:rPr>
        <w:t>适用于</w:t>
      </w:r>
      <w:r w:rsidRPr="00B13F87">
        <w:rPr>
          <w:rFonts w:hint="eastAsia"/>
          <w:sz w:val="24"/>
        </w:rPr>
        <w:t>以氯化镁和氯化钾为主要成分的岩盐光卤石或海盐生产的氯化钾，经精制而得的食品添加剂氯化钾</w:t>
      </w:r>
      <w:r>
        <w:rPr>
          <w:rFonts w:hint="eastAsia"/>
          <w:sz w:val="24"/>
        </w:rPr>
        <w:t>，本产品适用了氯化钾为生产中的食品添加剂，应符合相应规定。该标准中规定了氯化钾的色泽和组织形态等感官要求，也规定了氯化钾、干燥减重、酸碱度、碘和溴、钠、重金属、砷等理化指标，附录中有以上指标对应的检测方法。</w:t>
      </w:r>
      <w:r w:rsidR="00DE0DA7">
        <w:rPr>
          <w:rFonts w:hint="eastAsia"/>
          <w:sz w:val="24"/>
        </w:rPr>
        <w:t>食品添加剂的使用量应符合</w:t>
      </w:r>
      <w:r w:rsidR="00DE0DA7" w:rsidRPr="009521C8">
        <w:rPr>
          <w:sz w:val="24"/>
        </w:rPr>
        <w:t xml:space="preserve">GB </w:t>
      </w:r>
      <w:r w:rsidR="00DE0DA7">
        <w:rPr>
          <w:rFonts w:hint="eastAsia"/>
          <w:sz w:val="24"/>
        </w:rPr>
        <w:t>2760</w:t>
      </w:r>
      <w:r w:rsidR="00DE0DA7">
        <w:rPr>
          <w:rFonts w:hint="eastAsia"/>
          <w:sz w:val="24"/>
        </w:rPr>
        <w:t>《食品安全国家标准</w:t>
      </w:r>
      <w:r w:rsidR="00DE0DA7">
        <w:rPr>
          <w:rFonts w:hint="eastAsia"/>
          <w:sz w:val="24"/>
        </w:rPr>
        <w:t xml:space="preserve"> </w:t>
      </w:r>
      <w:r w:rsidR="00DE0DA7">
        <w:rPr>
          <w:rFonts w:hint="eastAsia"/>
          <w:sz w:val="24"/>
        </w:rPr>
        <w:t>食品添加剂使用标准》的规定，该标准</w:t>
      </w:r>
      <w:r w:rsidR="00DE0DA7" w:rsidRPr="00DE0DA7">
        <w:rPr>
          <w:rFonts w:hint="eastAsia"/>
          <w:sz w:val="24"/>
        </w:rPr>
        <w:t>规定了食品添加剂的使用原则、允许使用的食品添加剂品种、使用范围及最大使用量或</w:t>
      </w:r>
      <w:r w:rsidR="00DE0DA7" w:rsidRPr="00DE0DA7">
        <w:rPr>
          <w:rFonts w:hint="eastAsia"/>
          <w:sz w:val="24"/>
        </w:rPr>
        <w:lastRenderedPageBreak/>
        <w:t>残留量</w:t>
      </w:r>
      <w:r w:rsidR="00DE0DA7">
        <w:rPr>
          <w:rFonts w:hint="eastAsia"/>
          <w:sz w:val="24"/>
        </w:rPr>
        <w:t>，本产品生产中使用的所有食品添加剂均应符合相关规定。</w:t>
      </w:r>
    </w:p>
    <w:p w14:paraId="4868F797" w14:textId="4820858C" w:rsidR="000D2117" w:rsidRPr="000D2117" w:rsidRDefault="00E7223E" w:rsidP="000D2117">
      <w:pPr>
        <w:pStyle w:val="3"/>
      </w:pPr>
      <w:bookmarkStart w:id="32" w:name="_Toc174104487"/>
      <w:bookmarkStart w:id="33" w:name="_Toc176255789"/>
      <w:r w:rsidRPr="000D2117">
        <w:t>2.</w:t>
      </w:r>
      <w:r>
        <w:rPr>
          <w:rFonts w:hint="eastAsia"/>
        </w:rPr>
        <w:t>3</w:t>
      </w:r>
      <w:r w:rsidRPr="000D2117">
        <w:rPr>
          <w:rFonts w:hint="eastAsia"/>
        </w:rPr>
        <w:t>.</w:t>
      </w:r>
      <w:r>
        <w:rPr>
          <w:rFonts w:hint="eastAsia"/>
        </w:rPr>
        <w:t>2</w:t>
      </w:r>
      <w:r w:rsidRPr="000D2117">
        <w:t xml:space="preserve">  “</w:t>
      </w:r>
      <w:r>
        <w:rPr>
          <w:rFonts w:hint="eastAsia"/>
        </w:rPr>
        <w:t xml:space="preserve">4.2 </w:t>
      </w:r>
      <w:r>
        <w:rPr>
          <w:rFonts w:hint="eastAsia"/>
        </w:rPr>
        <w:t>感官指标</w:t>
      </w:r>
      <w:r w:rsidRPr="000D2117">
        <w:t>”</w:t>
      </w:r>
      <w:bookmarkEnd w:id="32"/>
      <w:bookmarkEnd w:id="33"/>
    </w:p>
    <w:p w14:paraId="7DEF3265" w14:textId="42AF19A7" w:rsidR="000D2117" w:rsidRDefault="006271E4" w:rsidP="000D2117">
      <w:pPr>
        <w:snapToGrid w:val="0"/>
        <w:spacing w:line="360" w:lineRule="auto"/>
        <w:ind w:firstLineChars="200" w:firstLine="480"/>
        <w:rPr>
          <w:sz w:val="24"/>
        </w:rPr>
      </w:pPr>
      <w:r>
        <w:rPr>
          <w:rFonts w:hint="eastAsia"/>
          <w:sz w:val="24"/>
        </w:rPr>
        <w:t>本文件中对于</w:t>
      </w:r>
      <w:r w:rsidRPr="006271E4">
        <w:rPr>
          <w:rFonts w:hint="eastAsia"/>
          <w:sz w:val="24"/>
        </w:rPr>
        <w:t>非变性Ⅱ型胶原蛋白</w:t>
      </w:r>
      <w:r>
        <w:rPr>
          <w:rFonts w:hint="eastAsia"/>
          <w:sz w:val="24"/>
        </w:rPr>
        <w:t>感官指标的确定经过了科学严谨的论证。首先是参考了相似的标准，如</w:t>
      </w:r>
      <w:r w:rsidR="00AA324A" w:rsidRPr="00AA324A">
        <w:rPr>
          <w:rFonts w:hint="eastAsia"/>
          <w:sz w:val="24"/>
        </w:rPr>
        <w:t>GB</w:t>
      </w:r>
      <w:r w:rsidR="00AA324A" w:rsidRPr="00AA324A">
        <w:rPr>
          <w:rFonts w:hint="eastAsia"/>
          <w:sz w:val="24"/>
        </w:rPr>
        <w:t>／</w:t>
      </w:r>
      <w:r w:rsidR="00AA324A" w:rsidRPr="00AA324A">
        <w:rPr>
          <w:rFonts w:hint="eastAsia"/>
          <w:sz w:val="24"/>
        </w:rPr>
        <w:t>T 31645</w:t>
      </w:r>
      <w:r w:rsidR="00AA324A" w:rsidRPr="00AA324A">
        <w:rPr>
          <w:rFonts w:hint="eastAsia"/>
          <w:sz w:val="24"/>
        </w:rPr>
        <w:t>《胶原蛋白肽》和</w:t>
      </w:r>
      <w:r w:rsidR="00AA324A" w:rsidRPr="00AA324A">
        <w:rPr>
          <w:rFonts w:hint="eastAsia"/>
          <w:sz w:val="24"/>
        </w:rPr>
        <w:t>QB2732</w:t>
      </w:r>
      <w:r w:rsidR="00AA324A" w:rsidRPr="00AA324A">
        <w:rPr>
          <w:rFonts w:hint="eastAsia"/>
          <w:sz w:val="24"/>
        </w:rPr>
        <w:t>《水解胶原蛋白》</w:t>
      </w:r>
      <w:r>
        <w:rPr>
          <w:rFonts w:hint="eastAsia"/>
          <w:sz w:val="24"/>
        </w:rPr>
        <w:t>中感官指标的描述；第二是</w:t>
      </w:r>
      <w:r w:rsidRPr="000D04A0">
        <w:rPr>
          <w:rFonts w:asciiTheme="minorEastAsia" w:eastAsiaTheme="minorEastAsia" w:hAnsiTheme="minorEastAsia" w:hint="eastAsia"/>
          <w:kern w:val="0"/>
          <w:sz w:val="24"/>
        </w:rPr>
        <w:t>起草工作组购买国内市场上的非变性II型胶原蛋白</w:t>
      </w:r>
      <w:r>
        <w:rPr>
          <w:rFonts w:asciiTheme="minorEastAsia" w:eastAsiaTheme="minorEastAsia" w:hAnsiTheme="minorEastAsia" w:hint="eastAsia"/>
          <w:kern w:val="0"/>
          <w:sz w:val="24"/>
        </w:rPr>
        <w:t>并进行</w:t>
      </w:r>
      <w:r w:rsidRPr="000D04A0">
        <w:rPr>
          <w:rFonts w:asciiTheme="minorEastAsia" w:eastAsiaTheme="minorEastAsia" w:hAnsiTheme="minorEastAsia" w:hint="eastAsia"/>
          <w:kern w:val="0"/>
          <w:sz w:val="24"/>
        </w:rPr>
        <w:t>质量指标检测，得到30个样本数据，并对数据进行了分析和处理</w:t>
      </w:r>
      <w:r>
        <w:rPr>
          <w:rFonts w:asciiTheme="minorEastAsia" w:eastAsiaTheme="minorEastAsia" w:hAnsiTheme="minorEastAsia" w:hint="eastAsia"/>
          <w:kern w:val="0"/>
          <w:sz w:val="24"/>
        </w:rPr>
        <w:t>，总结归纳了样品中共性的感官指标，并对其进行描述；最后经专家反复讨论与斟酌，最终确定了色泽、滋味及气味、组织形态、杂</w:t>
      </w:r>
      <w:r w:rsidR="003C0059">
        <w:rPr>
          <w:rFonts w:asciiTheme="minorEastAsia" w:eastAsiaTheme="minorEastAsia" w:hAnsiTheme="minorEastAsia" w:hint="eastAsia"/>
          <w:kern w:val="0"/>
          <w:sz w:val="24"/>
        </w:rPr>
        <w:t>质</w:t>
      </w:r>
      <w:r>
        <w:rPr>
          <w:rFonts w:asciiTheme="minorEastAsia" w:eastAsiaTheme="minorEastAsia" w:hAnsiTheme="minorEastAsia" w:hint="eastAsia"/>
          <w:kern w:val="0"/>
          <w:sz w:val="24"/>
        </w:rPr>
        <w:t>这</w:t>
      </w:r>
      <w:r w:rsidR="00340776">
        <w:rPr>
          <w:rFonts w:asciiTheme="minorEastAsia" w:eastAsiaTheme="minorEastAsia" w:hAnsiTheme="minorEastAsia" w:hint="eastAsia"/>
          <w:kern w:val="0"/>
          <w:sz w:val="24"/>
        </w:rPr>
        <w:t>4</w:t>
      </w:r>
      <w:r>
        <w:rPr>
          <w:rFonts w:asciiTheme="minorEastAsia" w:eastAsiaTheme="minorEastAsia" w:hAnsiTheme="minorEastAsia" w:hint="eastAsia"/>
          <w:kern w:val="0"/>
          <w:sz w:val="24"/>
        </w:rPr>
        <w:t>种感官指标，并对其要求进行了描述</w:t>
      </w:r>
      <w:r w:rsidR="00BE18BD">
        <w:rPr>
          <w:rFonts w:hint="eastAsia"/>
          <w:sz w:val="24"/>
        </w:rPr>
        <w:t>。</w:t>
      </w:r>
      <w:r>
        <w:rPr>
          <w:rFonts w:hint="eastAsia"/>
          <w:sz w:val="24"/>
        </w:rPr>
        <w:t>同时这四种也是感官指标中最常用和典型的项目。</w:t>
      </w:r>
    </w:p>
    <w:p w14:paraId="7A87EDF5" w14:textId="42CB91F7" w:rsidR="006271E4" w:rsidRDefault="00340776" w:rsidP="00340776">
      <w:pPr>
        <w:snapToGrid w:val="0"/>
        <w:spacing w:line="360" w:lineRule="auto"/>
        <w:ind w:firstLineChars="200" w:firstLine="480"/>
        <w:rPr>
          <w:sz w:val="24"/>
        </w:rPr>
      </w:pPr>
      <w:r w:rsidRPr="00AA324A">
        <w:rPr>
          <w:rFonts w:hint="eastAsia"/>
          <w:sz w:val="24"/>
        </w:rPr>
        <w:t>GB</w:t>
      </w:r>
      <w:r w:rsidRPr="00AA324A">
        <w:rPr>
          <w:rFonts w:hint="eastAsia"/>
          <w:sz w:val="24"/>
        </w:rPr>
        <w:t>／</w:t>
      </w:r>
      <w:r w:rsidRPr="00AA324A">
        <w:rPr>
          <w:rFonts w:hint="eastAsia"/>
          <w:sz w:val="24"/>
        </w:rPr>
        <w:t>T 31645</w:t>
      </w:r>
      <w:r w:rsidRPr="00AA324A">
        <w:rPr>
          <w:rFonts w:hint="eastAsia"/>
          <w:sz w:val="24"/>
        </w:rPr>
        <w:t>《胶原蛋白肽》</w:t>
      </w:r>
      <w:r>
        <w:rPr>
          <w:rFonts w:hint="eastAsia"/>
          <w:sz w:val="24"/>
        </w:rPr>
        <w:t>中对产品的感官要求有</w:t>
      </w:r>
      <w:r>
        <w:rPr>
          <w:rFonts w:hint="eastAsia"/>
          <w:sz w:val="24"/>
        </w:rPr>
        <w:t>3</w:t>
      </w:r>
      <w:r>
        <w:rPr>
          <w:rFonts w:hint="eastAsia"/>
          <w:sz w:val="24"/>
        </w:rPr>
        <w:t>种，分别为色泽要求白色或淡黄色；滋味、气味要求具有产品应有的滋味和气味，无异味；状态为粉末状或颗粒状，无结块，无正常视力可见的外来异物。同时规定了相应的感官指标检验方法。</w:t>
      </w:r>
      <w:r w:rsidRPr="00AA324A">
        <w:rPr>
          <w:rFonts w:hint="eastAsia"/>
          <w:sz w:val="24"/>
        </w:rPr>
        <w:t>QB2732</w:t>
      </w:r>
      <w:r w:rsidRPr="00AA324A">
        <w:rPr>
          <w:rFonts w:hint="eastAsia"/>
          <w:sz w:val="24"/>
        </w:rPr>
        <w:t>《水解胶原蛋白》</w:t>
      </w:r>
      <w:r>
        <w:rPr>
          <w:rFonts w:hint="eastAsia"/>
          <w:sz w:val="24"/>
        </w:rPr>
        <w:t>中对产品的感官要求为水解胶原蛋白粉为白色或淡黄色粉末，应保持洁净、均匀、无夹杂物；为透明或淡黄色液体，不应有异味、异臭以及肉眼可见杂质。</w:t>
      </w:r>
    </w:p>
    <w:p w14:paraId="0EE03EB5" w14:textId="63B796F4" w:rsidR="00340776" w:rsidRPr="00340776" w:rsidRDefault="00340776" w:rsidP="00340776">
      <w:pPr>
        <w:snapToGrid w:val="0"/>
        <w:spacing w:line="360" w:lineRule="auto"/>
        <w:ind w:firstLineChars="200" w:firstLine="480"/>
        <w:rPr>
          <w:sz w:val="24"/>
        </w:rPr>
      </w:pPr>
      <w:r w:rsidRPr="00340776">
        <w:rPr>
          <w:rFonts w:hint="eastAsia"/>
          <w:sz w:val="24"/>
        </w:rPr>
        <w:t>综上，将本产品的感官指标最终规定为色泽应为白色或淡黄色；滋味及气味应具有产品特有的滋味和气味，无其它异味；组织形态应呈粉末状，无结块；杂质应无正常视力可见的外来杂质。</w:t>
      </w:r>
    </w:p>
    <w:p w14:paraId="5C6D4506" w14:textId="64FEDFB7" w:rsidR="000D2117" w:rsidRPr="000D2117" w:rsidRDefault="000D2117" w:rsidP="000D2117">
      <w:pPr>
        <w:pStyle w:val="3"/>
      </w:pPr>
      <w:bookmarkStart w:id="34" w:name="_Toc166822772"/>
      <w:bookmarkStart w:id="35" w:name="_Toc166823065"/>
      <w:bookmarkStart w:id="36" w:name="_Toc172793127"/>
      <w:bookmarkStart w:id="37" w:name="_Toc174104488"/>
      <w:bookmarkStart w:id="38" w:name="_Toc176255790"/>
      <w:r w:rsidRPr="000D2117">
        <w:t>2.</w:t>
      </w:r>
      <w:r w:rsidR="00B466CC">
        <w:rPr>
          <w:rFonts w:hint="eastAsia"/>
        </w:rPr>
        <w:t>3</w:t>
      </w:r>
      <w:r w:rsidRPr="000D2117">
        <w:rPr>
          <w:rFonts w:hint="eastAsia"/>
        </w:rPr>
        <w:t>.</w:t>
      </w:r>
      <w:r w:rsidRPr="000D2117">
        <w:t>3  “</w:t>
      </w:r>
      <w:r w:rsidR="0058175C">
        <w:rPr>
          <w:rFonts w:hint="eastAsia"/>
        </w:rPr>
        <w:t xml:space="preserve">4.3 </w:t>
      </w:r>
      <w:r w:rsidR="0058175C">
        <w:rPr>
          <w:rFonts w:hint="eastAsia"/>
        </w:rPr>
        <w:t>理化指标</w:t>
      </w:r>
      <w:r w:rsidRPr="000D2117">
        <w:t>”</w:t>
      </w:r>
      <w:bookmarkEnd w:id="34"/>
      <w:bookmarkEnd w:id="35"/>
      <w:bookmarkEnd w:id="36"/>
      <w:bookmarkEnd w:id="37"/>
      <w:bookmarkEnd w:id="38"/>
    </w:p>
    <w:p w14:paraId="0824C224" w14:textId="24BB41F3" w:rsidR="0058175C" w:rsidRDefault="0058175C" w:rsidP="0058175C">
      <w:pPr>
        <w:snapToGrid w:val="0"/>
        <w:spacing w:line="360" w:lineRule="auto"/>
        <w:ind w:firstLineChars="200" w:firstLine="480"/>
        <w:rPr>
          <w:sz w:val="24"/>
        </w:rPr>
      </w:pPr>
      <w:r>
        <w:rPr>
          <w:rFonts w:hint="eastAsia"/>
          <w:sz w:val="24"/>
        </w:rPr>
        <w:t>本文件中对于</w:t>
      </w:r>
      <w:r w:rsidRPr="006271E4">
        <w:rPr>
          <w:rFonts w:hint="eastAsia"/>
          <w:sz w:val="24"/>
        </w:rPr>
        <w:t>非变性Ⅱ型胶原蛋白</w:t>
      </w:r>
      <w:r>
        <w:rPr>
          <w:rFonts w:hint="eastAsia"/>
          <w:sz w:val="24"/>
        </w:rPr>
        <w:t>理化指标的确定经过了科学严谨的论证。首先是参考了相似的标准，如</w:t>
      </w:r>
      <w:r w:rsidRPr="00AA324A">
        <w:rPr>
          <w:rFonts w:hint="eastAsia"/>
          <w:sz w:val="24"/>
        </w:rPr>
        <w:t>GB</w:t>
      </w:r>
      <w:r w:rsidRPr="00AA324A">
        <w:rPr>
          <w:rFonts w:hint="eastAsia"/>
          <w:sz w:val="24"/>
        </w:rPr>
        <w:t>／</w:t>
      </w:r>
      <w:r w:rsidRPr="00AA324A">
        <w:rPr>
          <w:rFonts w:hint="eastAsia"/>
          <w:sz w:val="24"/>
        </w:rPr>
        <w:t>T 31645</w:t>
      </w:r>
      <w:r w:rsidRPr="00AA324A">
        <w:rPr>
          <w:rFonts w:hint="eastAsia"/>
          <w:sz w:val="24"/>
        </w:rPr>
        <w:t>《胶原蛋白肽》和</w:t>
      </w:r>
      <w:r w:rsidRPr="00AA324A">
        <w:rPr>
          <w:rFonts w:hint="eastAsia"/>
          <w:sz w:val="24"/>
        </w:rPr>
        <w:t>QB2732</w:t>
      </w:r>
      <w:r w:rsidRPr="00AA324A">
        <w:rPr>
          <w:rFonts w:hint="eastAsia"/>
          <w:sz w:val="24"/>
        </w:rPr>
        <w:t>《水解胶原蛋白》</w:t>
      </w:r>
      <w:r>
        <w:rPr>
          <w:rFonts w:hint="eastAsia"/>
          <w:sz w:val="24"/>
        </w:rPr>
        <w:t>中理化指标的设置；第二是</w:t>
      </w:r>
      <w:r w:rsidRPr="000D04A0">
        <w:rPr>
          <w:rFonts w:asciiTheme="minorEastAsia" w:eastAsiaTheme="minorEastAsia" w:hAnsiTheme="minorEastAsia" w:hint="eastAsia"/>
          <w:kern w:val="0"/>
          <w:sz w:val="24"/>
        </w:rPr>
        <w:t>起草工作组购买国内市场上的非变性II型胶原蛋白</w:t>
      </w:r>
      <w:r>
        <w:rPr>
          <w:rFonts w:asciiTheme="minorEastAsia" w:eastAsiaTheme="minorEastAsia" w:hAnsiTheme="minorEastAsia" w:hint="eastAsia"/>
          <w:kern w:val="0"/>
          <w:sz w:val="24"/>
        </w:rPr>
        <w:t>并进行</w:t>
      </w:r>
      <w:r w:rsidRPr="000D04A0">
        <w:rPr>
          <w:rFonts w:asciiTheme="minorEastAsia" w:eastAsiaTheme="minorEastAsia" w:hAnsiTheme="minorEastAsia" w:hint="eastAsia"/>
          <w:kern w:val="0"/>
          <w:sz w:val="24"/>
        </w:rPr>
        <w:t>质量指标检测，得到30个样本数据，并对数据进行了分析和处理</w:t>
      </w:r>
      <w:r>
        <w:rPr>
          <w:rFonts w:asciiTheme="minorEastAsia" w:eastAsiaTheme="minorEastAsia" w:hAnsiTheme="minorEastAsia" w:hint="eastAsia"/>
          <w:kern w:val="0"/>
          <w:sz w:val="24"/>
        </w:rPr>
        <w:t>，选择最重要的并能代表产品特质的理化指标；最后经专家反复讨论与斟酌，最终确定了</w:t>
      </w:r>
      <w:r w:rsidRPr="0058175C">
        <w:rPr>
          <w:rFonts w:asciiTheme="minorEastAsia" w:eastAsiaTheme="minorEastAsia" w:hAnsiTheme="minorEastAsia" w:hint="eastAsia"/>
          <w:kern w:val="0"/>
          <w:sz w:val="24"/>
        </w:rPr>
        <w:t>蛋白质（以干基计）</w:t>
      </w:r>
      <w:r>
        <w:rPr>
          <w:rFonts w:asciiTheme="minorEastAsia" w:eastAsiaTheme="minorEastAsia" w:hAnsiTheme="minorEastAsia" w:hint="eastAsia"/>
          <w:kern w:val="0"/>
          <w:sz w:val="24"/>
        </w:rPr>
        <w:t>、</w:t>
      </w:r>
      <w:r w:rsidRPr="0058175C">
        <w:rPr>
          <w:rFonts w:asciiTheme="minorEastAsia" w:eastAsiaTheme="minorEastAsia" w:hAnsiTheme="minorEastAsia" w:hint="eastAsia"/>
          <w:kern w:val="0"/>
          <w:sz w:val="24"/>
        </w:rPr>
        <w:t>非变性Ⅱ型胶原蛋白（以干基计）</w:t>
      </w:r>
      <w:r>
        <w:rPr>
          <w:rFonts w:asciiTheme="minorEastAsia" w:eastAsiaTheme="minorEastAsia" w:hAnsiTheme="minorEastAsia" w:hint="eastAsia"/>
          <w:kern w:val="0"/>
          <w:sz w:val="24"/>
        </w:rPr>
        <w:t>、水分这3种理化指标，并对其数量值进行规定</w:t>
      </w:r>
      <w:r>
        <w:rPr>
          <w:rFonts w:hint="eastAsia"/>
          <w:sz w:val="24"/>
        </w:rPr>
        <w:t>。</w:t>
      </w:r>
    </w:p>
    <w:p w14:paraId="0538A2AB" w14:textId="575CB818" w:rsidR="0058175C" w:rsidRDefault="0058175C" w:rsidP="0058175C">
      <w:pPr>
        <w:snapToGrid w:val="0"/>
        <w:spacing w:line="360" w:lineRule="auto"/>
        <w:ind w:firstLineChars="200" w:firstLine="480"/>
        <w:rPr>
          <w:sz w:val="24"/>
        </w:rPr>
      </w:pPr>
      <w:r w:rsidRPr="00AA324A">
        <w:rPr>
          <w:rFonts w:hint="eastAsia"/>
          <w:sz w:val="24"/>
        </w:rPr>
        <w:t>GB</w:t>
      </w:r>
      <w:r w:rsidRPr="00AA324A">
        <w:rPr>
          <w:rFonts w:hint="eastAsia"/>
          <w:sz w:val="24"/>
        </w:rPr>
        <w:t>／</w:t>
      </w:r>
      <w:r w:rsidRPr="00AA324A">
        <w:rPr>
          <w:rFonts w:hint="eastAsia"/>
          <w:sz w:val="24"/>
        </w:rPr>
        <w:t>T 31645</w:t>
      </w:r>
      <w:r w:rsidRPr="00AA324A">
        <w:rPr>
          <w:rFonts w:hint="eastAsia"/>
          <w:sz w:val="24"/>
        </w:rPr>
        <w:t>《胶原蛋白肽》</w:t>
      </w:r>
      <w:r>
        <w:rPr>
          <w:rFonts w:hint="eastAsia"/>
          <w:sz w:val="24"/>
        </w:rPr>
        <w:t>中对产品的</w:t>
      </w:r>
      <w:r w:rsidR="003C0059">
        <w:rPr>
          <w:rFonts w:hint="eastAsia"/>
          <w:sz w:val="24"/>
        </w:rPr>
        <w:t>理化指标规定</w:t>
      </w:r>
      <w:r>
        <w:rPr>
          <w:rFonts w:hint="eastAsia"/>
          <w:sz w:val="24"/>
        </w:rPr>
        <w:t>有</w:t>
      </w:r>
      <w:r w:rsidR="003C0059">
        <w:rPr>
          <w:rFonts w:hint="eastAsia"/>
          <w:sz w:val="24"/>
        </w:rPr>
        <w:t>5</w:t>
      </w:r>
      <w:r w:rsidR="003C0059">
        <w:rPr>
          <w:rFonts w:hint="eastAsia"/>
          <w:sz w:val="24"/>
        </w:rPr>
        <w:t>项</w:t>
      </w:r>
      <w:r>
        <w:rPr>
          <w:rFonts w:hint="eastAsia"/>
          <w:sz w:val="24"/>
        </w:rPr>
        <w:t>，分别为</w:t>
      </w:r>
      <w:r w:rsidR="003C0059">
        <w:rPr>
          <w:rFonts w:hint="eastAsia"/>
          <w:sz w:val="24"/>
        </w:rPr>
        <w:t>相对分子质量小于</w:t>
      </w:r>
      <w:r w:rsidR="003C0059">
        <w:rPr>
          <w:rFonts w:hint="eastAsia"/>
          <w:sz w:val="24"/>
        </w:rPr>
        <w:t>10000</w:t>
      </w:r>
      <w:r w:rsidR="003C0059">
        <w:rPr>
          <w:rFonts w:hint="eastAsia"/>
          <w:sz w:val="24"/>
        </w:rPr>
        <w:t>的胶原蛋白肽所占比例≥</w:t>
      </w:r>
      <w:r w:rsidR="003C0059">
        <w:rPr>
          <w:rFonts w:hint="eastAsia"/>
          <w:sz w:val="24"/>
        </w:rPr>
        <w:t>90%</w:t>
      </w:r>
      <w:r>
        <w:rPr>
          <w:rFonts w:hint="eastAsia"/>
          <w:sz w:val="24"/>
        </w:rPr>
        <w:t>；</w:t>
      </w:r>
      <w:r w:rsidR="003C0059">
        <w:rPr>
          <w:rFonts w:hint="eastAsia"/>
          <w:sz w:val="24"/>
        </w:rPr>
        <w:t>羟脯氨酸（以干基计）≥</w:t>
      </w:r>
      <w:r w:rsidR="003C0059">
        <w:rPr>
          <w:rFonts w:hint="eastAsia"/>
          <w:sz w:val="24"/>
        </w:rPr>
        <w:t>3.0g/100g</w:t>
      </w:r>
      <w:r w:rsidR="003C0059">
        <w:rPr>
          <w:rFonts w:hint="eastAsia"/>
          <w:sz w:val="24"/>
        </w:rPr>
        <w:t>；总氮（以干基计）≥</w:t>
      </w:r>
      <w:r w:rsidR="003C0059">
        <w:rPr>
          <w:rFonts w:hint="eastAsia"/>
          <w:sz w:val="24"/>
        </w:rPr>
        <w:t>15.0g/100g</w:t>
      </w:r>
      <w:r w:rsidR="003C0059">
        <w:rPr>
          <w:rFonts w:hint="eastAsia"/>
          <w:sz w:val="24"/>
        </w:rPr>
        <w:t>；灰分≤</w:t>
      </w:r>
      <w:r w:rsidR="003C0059">
        <w:rPr>
          <w:rFonts w:hint="eastAsia"/>
          <w:sz w:val="24"/>
        </w:rPr>
        <w:t>7.0g/100g</w:t>
      </w:r>
      <w:r w:rsidR="003C0059">
        <w:rPr>
          <w:rFonts w:hint="eastAsia"/>
          <w:sz w:val="24"/>
        </w:rPr>
        <w:t>；水分≤</w:t>
      </w:r>
      <w:r w:rsidR="003C0059">
        <w:rPr>
          <w:rFonts w:hint="eastAsia"/>
          <w:sz w:val="24"/>
        </w:rPr>
        <w:t>7.0g/100g</w:t>
      </w:r>
      <w:r>
        <w:rPr>
          <w:rFonts w:hint="eastAsia"/>
          <w:sz w:val="24"/>
        </w:rPr>
        <w:t>。同时规定了相应的</w:t>
      </w:r>
      <w:r w:rsidR="003C0059">
        <w:rPr>
          <w:rFonts w:hint="eastAsia"/>
          <w:sz w:val="24"/>
        </w:rPr>
        <w:t>理化</w:t>
      </w:r>
      <w:r>
        <w:rPr>
          <w:rFonts w:hint="eastAsia"/>
          <w:sz w:val="24"/>
        </w:rPr>
        <w:t>指标检验方法</w:t>
      </w:r>
      <w:r w:rsidR="003C0059">
        <w:rPr>
          <w:rFonts w:hint="eastAsia"/>
          <w:sz w:val="24"/>
        </w:rPr>
        <w:t>，均为国家标准</w:t>
      </w:r>
      <w:r>
        <w:rPr>
          <w:rFonts w:hint="eastAsia"/>
          <w:sz w:val="24"/>
        </w:rPr>
        <w:t>。</w:t>
      </w:r>
      <w:r w:rsidRPr="00AA324A">
        <w:rPr>
          <w:rFonts w:hint="eastAsia"/>
          <w:sz w:val="24"/>
        </w:rPr>
        <w:t>QB2732</w:t>
      </w:r>
      <w:r w:rsidRPr="00AA324A">
        <w:rPr>
          <w:rFonts w:hint="eastAsia"/>
          <w:sz w:val="24"/>
        </w:rPr>
        <w:t>《水解胶原蛋白》</w:t>
      </w:r>
      <w:r>
        <w:rPr>
          <w:rFonts w:hint="eastAsia"/>
          <w:sz w:val="24"/>
        </w:rPr>
        <w:lastRenderedPageBreak/>
        <w:t>中</w:t>
      </w:r>
      <w:r w:rsidR="00F36F21">
        <w:rPr>
          <w:rFonts w:hint="eastAsia"/>
          <w:sz w:val="24"/>
        </w:rPr>
        <w:t>对产品的理化指标规定有</w:t>
      </w:r>
      <w:r w:rsidR="00F36F21">
        <w:rPr>
          <w:rFonts w:hint="eastAsia"/>
          <w:sz w:val="24"/>
        </w:rPr>
        <w:t>12</w:t>
      </w:r>
      <w:r w:rsidR="00F36F21">
        <w:rPr>
          <w:rFonts w:hint="eastAsia"/>
          <w:sz w:val="24"/>
        </w:rPr>
        <w:t>项，项目较多，且分为水解胶原蛋白粉和水解胶原蛋白液分别规定，分别为水分、相对分子质量、蛋白质（质量分数）、透射比、灰分（质量分数）、二氧化硫、过氧化物、</w:t>
      </w:r>
      <w:r w:rsidR="00F36F21">
        <w:rPr>
          <w:rFonts w:hint="eastAsia"/>
          <w:sz w:val="24"/>
        </w:rPr>
        <w:t>pH</w:t>
      </w:r>
      <w:r w:rsidR="00F36F21">
        <w:rPr>
          <w:rFonts w:hint="eastAsia"/>
          <w:sz w:val="24"/>
        </w:rPr>
        <w:t>、水不溶物、铬、砷、重金属</w:t>
      </w:r>
      <w:r>
        <w:rPr>
          <w:rFonts w:hint="eastAsia"/>
          <w:sz w:val="24"/>
        </w:rPr>
        <w:t>。</w:t>
      </w:r>
    </w:p>
    <w:p w14:paraId="66FDEC97" w14:textId="1F9626A5" w:rsidR="000D2117" w:rsidRDefault="0058175C" w:rsidP="0058175C">
      <w:pPr>
        <w:snapToGrid w:val="0"/>
        <w:spacing w:line="360" w:lineRule="auto"/>
        <w:ind w:firstLineChars="200" w:firstLine="480"/>
        <w:rPr>
          <w:sz w:val="24"/>
        </w:rPr>
      </w:pPr>
      <w:r w:rsidRPr="00340776">
        <w:rPr>
          <w:rFonts w:hint="eastAsia"/>
          <w:sz w:val="24"/>
        </w:rPr>
        <w:t>综上，</w:t>
      </w:r>
      <w:r w:rsidR="00F36F21" w:rsidRPr="00F36F21">
        <w:rPr>
          <w:rFonts w:hint="eastAsia"/>
          <w:sz w:val="24"/>
        </w:rPr>
        <w:t>本文件按照根据生产工艺，采用低温干燥，将非变性</w:t>
      </w:r>
      <w:r w:rsidR="00F36F21" w:rsidRPr="00F36F21">
        <w:rPr>
          <w:rFonts w:hint="eastAsia"/>
          <w:sz w:val="24"/>
        </w:rPr>
        <w:t>II</w:t>
      </w:r>
      <w:r w:rsidR="00F36F21" w:rsidRPr="00F36F21">
        <w:rPr>
          <w:rFonts w:hint="eastAsia"/>
          <w:sz w:val="24"/>
        </w:rPr>
        <w:t>型的水分、蛋白质指标设定为：</w:t>
      </w:r>
      <w:r w:rsidR="00F36F21" w:rsidRPr="00F36F21">
        <w:rPr>
          <w:rFonts w:hint="eastAsia"/>
          <w:sz w:val="24"/>
        </w:rPr>
        <w:t xml:space="preserve"> </w:t>
      </w:r>
      <w:r w:rsidR="00F36F21" w:rsidRPr="00F36F21">
        <w:rPr>
          <w:rFonts w:hint="eastAsia"/>
          <w:sz w:val="24"/>
        </w:rPr>
        <w:t>水分≤</w:t>
      </w:r>
      <w:r w:rsidR="00F36F21" w:rsidRPr="00F36F21">
        <w:rPr>
          <w:rFonts w:hint="eastAsia"/>
          <w:sz w:val="24"/>
        </w:rPr>
        <w:t>10.0g/100g</w:t>
      </w:r>
      <w:r w:rsidR="00F36F21" w:rsidRPr="00F36F21">
        <w:rPr>
          <w:rFonts w:hint="eastAsia"/>
          <w:sz w:val="24"/>
        </w:rPr>
        <w:t>，检测方法按照</w:t>
      </w:r>
      <w:r w:rsidR="00F36F21" w:rsidRPr="00F36F21">
        <w:rPr>
          <w:rFonts w:hint="eastAsia"/>
          <w:sz w:val="24"/>
        </w:rPr>
        <w:t>GB 5009.3</w:t>
      </w:r>
      <w:r w:rsidR="00F36F21" w:rsidRPr="00F36F21">
        <w:rPr>
          <w:rFonts w:hint="eastAsia"/>
          <w:sz w:val="24"/>
        </w:rPr>
        <w:t>第一法执行，蛋白质≥</w:t>
      </w:r>
      <w:r w:rsidR="00F36F21" w:rsidRPr="00F36F21">
        <w:rPr>
          <w:rFonts w:hint="eastAsia"/>
          <w:sz w:val="24"/>
        </w:rPr>
        <w:t>45.00g/100g</w:t>
      </w:r>
      <w:r w:rsidR="00F36F21" w:rsidRPr="00F36F21">
        <w:rPr>
          <w:rFonts w:hint="eastAsia"/>
          <w:sz w:val="24"/>
        </w:rPr>
        <w:t>，检测方法按照</w:t>
      </w:r>
      <w:r w:rsidR="00F36F21" w:rsidRPr="00F36F21">
        <w:rPr>
          <w:rFonts w:hint="eastAsia"/>
          <w:sz w:val="24"/>
        </w:rPr>
        <w:t>GB 5009.5</w:t>
      </w:r>
      <w:r w:rsidR="00F36F21" w:rsidRPr="00F36F21">
        <w:rPr>
          <w:rFonts w:hint="eastAsia"/>
          <w:sz w:val="24"/>
        </w:rPr>
        <w:t>执行，换算系数为</w:t>
      </w:r>
      <w:r w:rsidR="00F36F21" w:rsidRPr="00F36F21">
        <w:rPr>
          <w:rFonts w:hint="eastAsia"/>
          <w:sz w:val="24"/>
        </w:rPr>
        <w:t>5.79</w:t>
      </w:r>
      <w:r w:rsidR="00F36F21" w:rsidRPr="00F36F21">
        <w:rPr>
          <w:rFonts w:hint="eastAsia"/>
          <w:sz w:val="24"/>
        </w:rPr>
        <w:t>，参考</w:t>
      </w:r>
      <w:r w:rsidR="00F36F21" w:rsidRPr="00F36F21">
        <w:rPr>
          <w:rFonts w:hint="eastAsia"/>
          <w:sz w:val="24"/>
        </w:rPr>
        <w:t>QB 2732</w:t>
      </w:r>
      <w:r w:rsidR="00F36F21" w:rsidRPr="00F36F21">
        <w:rPr>
          <w:rFonts w:hint="eastAsia"/>
          <w:sz w:val="24"/>
        </w:rPr>
        <w:t>《水解胶原蛋白》</w:t>
      </w:r>
      <w:r w:rsidRPr="00340776">
        <w:rPr>
          <w:rFonts w:hint="eastAsia"/>
          <w:sz w:val="24"/>
        </w:rPr>
        <w:t>。</w:t>
      </w:r>
    </w:p>
    <w:p w14:paraId="68279CA5" w14:textId="6DDA2A46" w:rsidR="00F36F21" w:rsidRPr="00F36F21" w:rsidRDefault="00F36F21" w:rsidP="00F36F21">
      <w:pPr>
        <w:snapToGrid w:val="0"/>
        <w:spacing w:line="360" w:lineRule="auto"/>
        <w:ind w:firstLineChars="200" w:firstLine="480"/>
        <w:rPr>
          <w:sz w:val="24"/>
        </w:rPr>
      </w:pPr>
      <w:r>
        <w:rPr>
          <w:rFonts w:hint="eastAsia"/>
          <w:sz w:val="24"/>
        </w:rPr>
        <w:t>而</w:t>
      </w:r>
      <w:r w:rsidRPr="00F36F21">
        <w:rPr>
          <w:rFonts w:hint="eastAsia"/>
          <w:sz w:val="24"/>
        </w:rPr>
        <w:t>非变性</w:t>
      </w:r>
      <w:r w:rsidRPr="00F36F21">
        <w:rPr>
          <w:rFonts w:hint="eastAsia"/>
          <w:sz w:val="24"/>
        </w:rPr>
        <w:t>II</w:t>
      </w:r>
      <w:r w:rsidRPr="00F36F21">
        <w:rPr>
          <w:rFonts w:hint="eastAsia"/>
          <w:sz w:val="24"/>
        </w:rPr>
        <w:t>型胶原蛋白的特点是保留完整的胶原蛋白三螺旋结构，但是胶原蛋白在生产过程中，很容易变性，因此非变性</w:t>
      </w:r>
      <w:r w:rsidRPr="00F36F21">
        <w:rPr>
          <w:rFonts w:hint="eastAsia"/>
          <w:sz w:val="24"/>
        </w:rPr>
        <w:t>II</w:t>
      </w:r>
      <w:r w:rsidRPr="00F36F21">
        <w:rPr>
          <w:rFonts w:hint="eastAsia"/>
          <w:sz w:val="24"/>
        </w:rPr>
        <w:t>型胶原蛋白所占比例的限定是本文件要解决的关键问题。根据生产厂家的检测结果，将非变性</w:t>
      </w:r>
      <w:r w:rsidRPr="00F36F21">
        <w:rPr>
          <w:rFonts w:hint="eastAsia"/>
          <w:sz w:val="24"/>
        </w:rPr>
        <w:t>II</w:t>
      </w:r>
      <w:r w:rsidRPr="00F36F21">
        <w:rPr>
          <w:rFonts w:hint="eastAsia"/>
          <w:sz w:val="24"/>
        </w:rPr>
        <w:t>型胶原蛋白含量定为</w:t>
      </w:r>
      <w:r w:rsidRPr="00F36F21">
        <w:rPr>
          <w:rFonts w:hint="eastAsia"/>
          <w:sz w:val="24"/>
        </w:rPr>
        <w:t>6%</w:t>
      </w:r>
      <w:r w:rsidRPr="00F36F21">
        <w:rPr>
          <w:rFonts w:hint="eastAsia"/>
          <w:sz w:val="24"/>
        </w:rPr>
        <w:t>以上。</w:t>
      </w:r>
    </w:p>
    <w:p w14:paraId="52B16505" w14:textId="2A738B39" w:rsidR="00F36F21" w:rsidRPr="00F36F21" w:rsidRDefault="00F36F21" w:rsidP="00F36F21">
      <w:pPr>
        <w:snapToGrid w:val="0"/>
        <w:spacing w:line="360" w:lineRule="auto"/>
        <w:ind w:firstLineChars="200" w:firstLine="480"/>
        <w:rPr>
          <w:sz w:val="24"/>
        </w:rPr>
      </w:pPr>
      <w:r w:rsidRPr="00F36F21">
        <w:rPr>
          <w:rFonts w:hint="eastAsia"/>
          <w:sz w:val="24"/>
        </w:rPr>
        <w:t>根据市场上主流生产厂家进行了调查，结果如</w:t>
      </w:r>
      <w:r>
        <w:rPr>
          <w:rFonts w:hint="eastAsia"/>
          <w:sz w:val="24"/>
        </w:rPr>
        <w:t>下</w:t>
      </w:r>
      <w:r w:rsidRPr="00F36F21">
        <w:rPr>
          <w:rFonts w:hint="eastAsia"/>
          <w:sz w:val="24"/>
        </w:rPr>
        <w:t>表</w:t>
      </w:r>
      <w:r>
        <w:rPr>
          <w:rFonts w:hint="eastAsia"/>
          <w:sz w:val="24"/>
        </w:rPr>
        <w:t>2</w:t>
      </w:r>
      <w:r w:rsidRPr="00F36F21">
        <w:rPr>
          <w:rFonts w:hint="eastAsia"/>
          <w:sz w:val="24"/>
        </w:rPr>
        <w:t>所示。通过多批次样品的分析发现，各厂家产品中非变性</w:t>
      </w:r>
      <w:r w:rsidRPr="00F36F21">
        <w:rPr>
          <w:rFonts w:hint="eastAsia"/>
          <w:sz w:val="24"/>
        </w:rPr>
        <w:t>II</w:t>
      </w:r>
      <w:r w:rsidRPr="00F36F21">
        <w:rPr>
          <w:rFonts w:hint="eastAsia"/>
          <w:sz w:val="24"/>
        </w:rPr>
        <w:t>型胶原蛋白占比指标基本稳定，能够代表生产工艺技术水平。调研的</w:t>
      </w:r>
      <w:r w:rsidRPr="00F36F21">
        <w:rPr>
          <w:rFonts w:hint="eastAsia"/>
          <w:sz w:val="24"/>
        </w:rPr>
        <w:t>6</w:t>
      </w:r>
      <w:r w:rsidRPr="00F36F21">
        <w:rPr>
          <w:rFonts w:hint="eastAsia"/>
          <w:sz w:val="24"/>
        </w:rPr>
        <w:t>个厂家中，两家个厂家产品中非变性</w:t>
      </w:r>
      <w:r w:rsidRPr="00F36F21">
        <w:rPr>
          <w:rFonts w:hint="eastAsia"/>
          <w:sz w:val="24"/>
        </w:rPr>
        <w:t>II</w:t>
      </w:r>
      <w:r w:rsidRPr="00F36F21">
        <w:rPr>
          <w:rFonts w:hint="eastAsia"/>
          <w:sz w:val="24"/>
        </w:rPr>
        <w:t>型胶原蛋白占比超过</w:t>
      </w:r>
      <w:r w:rsidRPr="00F36F21">
        <w:rPr>
          <w:rFonts w:hint="eastAsia"/>
          <w:sz w:val="24"/>
        </w:rPr>
        <w:t>2</w:t>
      </w:r>
      <w:r w:rsidRPr="00F36F21">
        <w:rPr>
          <w:sz w:val="24"/>
        </w:rPr>
        <w:t>0%</w:t>
      </w:r>
      <w:r w:rsidRPr="00F36F21">
        <w:rPr>
          <w:rFonts w:hint="eastAsia"/>
          <w:sz w:val="24"/>
        </w:rPr>
        <w:t>，一家超过</w:t>
      </w:r>
      <w:r w:rsidRPr="00F36F21">
        <w:rPr>
          <w:rFonts w:hint="eastAsia"/>
          <w:sz w:val="24"/>
        </w:rPr>
        <w:t>10%</w:t>
      </w:r>
      <w:r w:rsidRPr="00F36F21">
        <w:rPr>
          <w:rFonts w:hint="eastAsia"/>
          <w:sz w:val="24"/>
        </w:rPr>
        <w:t>，两家产品的非变性</w:t>
      </w:r>
      <w:r w:rsidRPr="00F36F21">
        <w:rPr>
          <w:rFonts w:hint="eastAsia"/>
          <w:sz w:val="24"/>
        </w:rPr>
        <w:t>II</w:t>
      </w:r>
      <w:r w:rsidRPr="00F36F21">
        <w:rPr>
          <w:rFonts w:hint="eastAsia"/>
          <w:sz w:val="24"/>
        </w:rPr>
        <w:t>型胶原蛋白占比超过</w:t>
      </w:r>
      <w:r w:rsidRPr="00F36F21">
        <w:rPr>
          <w:rFonts w:hint="eastAsia"/>
          <w:sz w:val="24"/>
        </w:rPr>
        <w:t>6%</w:t>
      </w:r>
      <w:r w:rsidRPr="00F36F21">
        <w:rPr>
          <w:rFonts w:hint="eastAsia"/>
          <w:sz w:val="24"/>
        </w:rPr>
        <w:t>，另外一家几乎未检出有非变性</w:t>
      </w:r>
      <w:r w:rsidRPr="00F36F21">
        <w:rPr>
          <w:rFonts w:hint="eastAsia"/>
          <w:sz w:val="24"/>
        </w:rPr>
        <w:t>II</w:t>
      </w:r>
      <w:r w:rsidRPr="00F36F21">
        <w:rPr>
          <w:rFonts w:hint="eastAsia"/>
          <w:sz w:val="24"/>
        </w:rPr>
        <w:t>型胶原蛋白。将非变性</w:t>
      </w:r>
      <w:r w:rsidRPr="00F36F21">
        <w:rPr>
          <w:rFonts w:hint="eastAsia"/>
          <w:sz w:val="24"/>
        </w:rPr>
        <w:t>II</w:t>
      </w:r>
      <w:r w:rsidRPr="00F36F21">
        <w:rPr>
          <w:rFonts w:hint="eastAsia"/>
          <w:sz w:val="24"/>
        </w:rPr>
        <w:t>型胶原蛋白的含量定位为</w:t>
      </w:r>
      <w:r w:rsidRPr="00F36F21">
        <w:rPr>
          <w:rFonts w:hint="eastAsia"/>
          <w:sz w:val="24"/>
        </w:rPr>
        <w:t>6%</w:t>
      </w:r>
      <w:r w:rsidRPr="00F36F21">
        <w:rPr>
          <w:rFonts w:hint="eastAsia"/>
          <w:sz w:val="24"/>
        </w:rPr>
        <w:t>以上，旨在保障非变性</w:t>
      </w:r>
      <w:r w:rsidRPr="00F36F21">
        <w:rPr>
          <w:rFonts w:hint="eastAsia"/>
          <w:sz w:val="24"/>
        </w:rPr>
        <w:t>II</w:t>
      </w:r>
      <w:r w:rsidRPr="00F36F21">
        <w:rPr>
          <w:rFonts w:hint="eastAsia"/>
          <w:sz w:val="24"/>
        </w:rPr>
        <w:t>型胶原蛋白作为高端产品应有的工艺水平，指导生产厂商进一步优化工艺技术。</w:t>
      </w:r>
    </w:p>
    <w:p w14:paraId="668E4659" w14:textId="4F026B6F" w:rsidR="00F36F21" w:rsidRPr="00F36F21" w:rsidRDefault="00F36F21" w:rsidP="00F36F21">
      <w:pPr>
        <w:spacing w:line="360" w:lineRule="auto"/>
        <w:jc w:val="center"/>
        <w:rPr>
          <w:rFonts w:ascii="黑体" w:eastAsia="黑体" w:hAnsi="黑体" w:hint="eastAsia"/>
          <w:bCs/>
          <w:kern w:val="0"/>
          <w:sz w:val="24"/>
        </w:rPr>
      </w:pPr>
      <w:r w:rsidRPr="00F36F21">
        <w:rPr>
          <w:rFonts w:ascii="黑体" w:eastAsia="黑体" w:hAnsi="黑体" w:hint="eastAsia"/>
          <w:bCs/>
          <w:kern w:val="0"/>
          <w:sz w:val="24"/>
        </w:rPr>
        <w:t>表2非变性II型胶原蛋白含量</w:t>
      </w:r>
    </w:p>
    <w:tbl>
      <w:tblPr>
        <w:tblStyle w:val="aff1"/>
        <w:tblW w:w="0" w:type="auto"/>
        <w:tblLook w:val="04A0" w:firstRow="1" w:lastRow="0" w:firstColumn="1" w:lastColumn="0" w:noHBand="0" w:noVBand="1"/>
      </w:tblPr>
      <w:tblGrid>
        <w:gridCol w:w="1894"/>
        <w:gridCol w:w="1040"/>
        <w:gridCol w:w="969"/>
        <w:gridCol w:w="1067"/>
        <w:gridCol w:w="1207"/>
        <w:gridCol w:w="1208"/>
        <w:gridCol w:w="1137"/>
      </w:tblGrid>
      <w:tr w:rsidR="00F36F21" w:rsidRPr="000D04A0" w14:paraId="4E8A64E6" w14:textId="77777777" w:rsidTr="00F36F21">
        <w:tc>
          <w:tcPr>
            <w:tcW w:w="1894" w:type="dxa"/>
            <w:vAlign w:val="center"/>
          </w:tcPr>
          <w:p w14:paraId="7B2DAE48"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样品编号</w:t>
            </w:r>
          </w:p>
        </w:tc>
        <w:tc>
          <w:tcPr>
            <w:tcW w:w="1040" w:type="dxa"/>
            <w:vAlign w:val="center"/>
          </w:tcPr>
          <w:p w14:paraId="2283EADB"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1</w:t>
            </w:r>
          </w:p>
        </w:tc>
        <w:tc>
          <w:tcPr>
            <w:tcW w:w="969" w:type="dxa"/>
            <w:vAlign w:val="center"/>
          </w:tcPr>
          <w:p w14:paraId="39D5A036"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2</w:t>
            </w:r>
          </w:p>
        </w:tc>
        <w:tc>
          <w:tcPr>
            <w:tcW w:w="1067" w:type="dxa"/>
            <w:vAlign w:val="center"/>
          </w:tcPr>
          <w:p w14:paraId="53700A7D"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3</w:t>
            </w:r>
          </w:p>
        </w:tc>
        <w:tc>
          <w:tcPr>
            <w:tcW w:w="1207" w:type="dxa"/>
            <w:vAlign w:val="center"/>
          </w:tcPr>
          <w:p w14:paraId="0C4F3335"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4</w:t>
            </w:r>
          </w:p>
        </w:tc>
        <w:tc>
          <w:tcPr>
            <w:tcW w:w="1208" w:type="dxa"/>
            <w:vAlign w:val="center"/>
          </w:tcPr>
          <w:p w14:paraId="556C2AE8" w14:textId="437D7314" w:rsidR="00F36F21" w:rsidRPr="00F36F21" w:rsidRDefault="00F36F21" w:rsidP="00F36F21">
            <w:pPr>
              <w:spacing w:line="360" w:lineRule="auto"/>
              <w:jc w:val="center"/>
              <w:rPr>
                <w:rFonts w:ascii="仿宋" w:eastAsia="仿宋" w:hAnsi="仿宋" w:hint="eastAsia"/>
                <w:bCs/>
                <w:sz w:val="24"/>
              </w:rPr>
            </w:pPr>
            <w:r>
              <w:rPr>
                <w:rFonts w:ascii="仿宋" w:eastAsia="仿宋" w:hAnsi="仿宋" w:hint="eastAsia"/>
                <w:bCs/>
                <w:sz w:val="24"/>
              </w:rPr>
              <w:t>5</w:t>
            </w:r>
          </w:p>
        </w:tc>
        <w:tc>
          <w:tcPr>
            <w:tcW w:w="1137" w:type="dxa"/>
            <w:vAlign w:val="center"/>
          </w:tcPr>
          <w:p w14:paraId="31B6D807" w14:textId="314F8A6A" w:rsidR="00F36F21" w:rsidRPr="00F36F21" w:rsidRDefault="00F36F21" w:rsidP="00F36F21">
            <w:pPr>
              <w:spacing w:line="360" w:lineRule="auto"/>
              <w:jc w:val="center"/>
              <w:rPr>
                <w:rFonts w:ascii="仿宋" w:eastAsia="仿宋" w:hAnsi="仿宋" w:hint="eastAsia"/>
                <w:bCs/>
                <w:sz w:val="24"/>
              </w:rPr>
            </w:pPr>
            <w:r>
              <w:rPr>
                <w:rFonts w:ascii="仿宋" w:eastAsia="仿宋" w:hAnsi="仿宋" w:hint="eastAsia"/>
                <w:bCs/>
                <w:sz w:val="24"/>
              </w:rPr>
              <w:t>6</w:t>
            </w:r>
          </w:p>
        </w:tc>
      </w:tr>
      <w:tr w:rsidR="00F36F21" w:rsidRPr="000D04A0" w14:paraId="1244100B" w14:textId="77777777" w:rsidTr="00F36F21">
        <w:tc>
          <w:tcPr>
            <w:tcW w:w="1894" w:type="dxa"/>
            <w:vAlign w:val="center"/>
          </w:tcPr>
          <w:p w14:paraId="2E4DBC06"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非变性II型胶原蛋白含量（g/100g）</w:t>
            </w:r>
          </w:p>
        </w:tc>
        <w:tc>
          <w:tcPr>
            <w:tcW w:w="1040" w:type="dxa"/>
            <w:vAlign w:val="center"/>
          </w:tcPr>
          <w:p w14:paraId="7732FE4E"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22.94</w:t>
            </w:r>
          </w:p>
        </w:tc>
        <w:tc>
          <w:tcPr>
            <w:tcW w:w="969" w:type="dxa"/>
            <w:vAlign w:val="center"/>
          </w:tcPr>
          <w:p w14:paraId="7A52E527"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21.09</w:t>
            </w:r>
          </w:p>
        </w:tc>
        <w:tc>
          <w:tcPr>
            <w:tcW w:w="1067" w:type="dxa"/>
            <w:vAlign w:val="center"/>
          </w:tcPr>
          <w:p w14:paraId="592DFBE2"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11.23</w:t>
            </w:r>
          </w:p>
        </w:tc>
        <w:tc>
          <w:tcPr>
            <w:tcW w:w="1207" w:type="dxa"/>
            <w:vAlign w:val="center"/>
          </w:tcPr>
          <w:p w14:paraId="5424EA89"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6.36</w:t>
            </w:r>
          </w:p>
        </w:tc>
        <w:tc>
          <w:tcPr>
            <w:tcW w:w="1208" w:type="dxa"/>
            <w:vAlign w:val="center"/>
          </w:tcPr>
          <w:p w14:paraId="27467704"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6.17</w:t>
            </w:r>
          </w:p>
        </w:tc>
        <w:tc>
          <w:tcPr>
            <w:tcW w:w="1137" w:type="dxa"/>
            <w:vAlign w:val="center"/>
          </w:tcPr>
          <w:p w14:paraId="5550A7D9" w14:textId="77777777" w:rsidR="00F36F21" w:rsidRPr="00F36F21" w:rsidRDefault="00F36F21" w:rsidP="00F36F21">
            <w:pPr>
              <w:spacing w:line="360" w:lineRule="auto"/>
              <w:jc w:val="center"/>
              <w:rPr>
                <w:rFonts w:ascii="仿宋" w:eastAsia="仿宋" w:hAnsi="仿宋" w:hint="eastAsia"/>
                <w:bCs/>
                <w:sz w:val="24"/>
              </w:rPr>
            </w:pPr>
            <w:r w:rsidRPr="00F36F21">
              <w:rPr>
                <w:rFonts w:ascii="仿宋" w:eastAsia="仿宋" w:hAnsi="仿宋" w:hint="eastAsia"/>
                <w:bCs/>
                <w:sz w:val="24"/>
              </w:rPr>
              <w:t>未检出</w:t>
            </w:r>
          </w:p>
        </w:tc>
      </w:tr>
    </w:tbl>
    <w:p w14:paraId="231E9ADC" w14:textId="69E0E2E5" w:rsidR="00F36F21" w:rsidRDefault="00124FC9" w:rsidP="00124FC9">
      <w:pPr>
        <w:snapToGrid w:val="0"/>
        <w:spacing w:line="360" w:lineRule="auto"/>
        <w:ind w:firstLineChars="200" w:firstLine="480"/>
        <w:rPr>
          <w:sz w:val="24"/>
        </w:rPr>
      </w:pPr>
      <w:r w:rsidRPr="00124FC9">
        <w:rPr>
          <w:rFonts w:hint="eastAsia"/>
          <w:sz w:val="24"/>
        </w:rPr>
        <w:t>而对于非变性</w:t>
      </w:r>
      <w:r w:rsidRPr="00124FC9">
        <w:rPr>
          <w:rFonts w:hint="eastAsia"/>
          <w:sz w:val="24"/>
        </w:rPr>
        <w:t>II</w:t>
      </w:r>
      <w:r w:rsidRPr="00124FC9">
        <w:rPr>
          <w:rFonts w:hint="eastAsia"/>
          <w:sz w:val="24"/>
        </w:rPr>
        <w:t>型胶原蛋白占比例的测定方法，目前国内外文献报道的非变性</w:t>
      </w:r>
      <w:r w:rsidRPr="00124FC9">
        <w:rPr>
          <w:rFonts w:hint="eastAsia"/>
          <w:sz w:val="24"/>
        </w:rPr>
        <w:t>II</w:t>
      </w:r>
      <w:r w:rsidRPr="00124FC9">
        <w:rPr>
          <w:rFonts w:hint="eastAsia"/>
          <w:sz w:val="24"/>
        </w:rPr>
        <w:t>型胶原蛋白测定方法主要包括酶联免疫和液相色谱法，考虑到检测成本和便捷性，行业内多采用液相色谱法进行检测。因此，起草工作组拟在本文件中沿用该方法，详见附录</w:t>
      </w:r>
      <w:r w:rsidRPr="00124FC9">
        <w:rPr>
          <w:rFonts w:hint="eastAsia"/>
          <w:sz w:val="24"/>
        </w:rPr>
        <w:t xml:space="preserve"> </w:t>
      </w:r>
      <w:r w:rsidRPr="00124FC9">
        <w:rPr>
          <w:sz w:val="24"/>
        </w:rPr>
        <w:t>A</w:t>
      </w:r>
      <w:r w:rsidRPr="00124FC9">
        <w:rPr>
          <w:rFonts w:hint="eastAsia"/>
          <w:sz w:val="24"/>
        </w:rPr>
        <w:t>。换算系数参考</w:t>
      </w:r>
      <w:r w:rsidRPr="00124FC9">
        <w:rPr>
          <w:rFonts w:hint="eastAsia"/>
          <w:sz w:val="24"/>
        </w:rPr>
        <w:t>NYT3608-2020</w:t>
      </w:r>
      <w:r w:rsidRPr="00124FC9">
        <w:rPr>
          <w:rFonts w:hint="eastAsia"/>
          <w:sz w:val="24"/>
        </w:rPr>
        <w:t>畜禽骨胶原蛋白含量测定方法。</w:t>
      </w:r>
    </w:p>
    <w:p w14:paraId="52F99402" w14:textId="36365E10" w:rsidR="00874010" w:rsidRPr="000D2117" w:rsidRDefault="00874010" w:rsidP="00874010">
      <w:pPr>
        <w:pStyle w:val="3"/>
      </w:pPr>
      <w:bookmarkStart w:id="39" w:name="_Toc174104489"/>
      <w:bookmarkStart w:id="40" w:name="_Toc176255791"/>
      <w:r w:rsidRPr="000D2117">
        <w:lastRenderedPageBreak/>
        <w:t>2.</w:t>
      </w:r>
      <w:r>
        <w:rPr>
          <w:rFonts w:hint="eastAsia"/>
        </w:rPr>
        <w:t>3</w:t>
      </w:r>
      <w:r w:rsidRPr="000D2117">
        <w:rPr>
          <w:rFonts w:hint="eastAsia"/>
        </w:rPr>
        <w:t>.</w:t>
      </w:r>
      <w:r>
        <w:rPr>
          <w:rFonts w:hint="eastAsia"/>
        </w:rPr>
        <w:t>4</w:t>
      </w:r>
      <w:r w:rsidRPr="000D2117">
        <w:t xml:space="preserve">  “</w:t>
      </w:r>
      <w:r>
        <w:rPr>
          <w:rFonts w:hint="eastAsia"/>
        </w:rPr>
        <w:t xml:space="preserve">4.4 </w:t>
      </w:r>
      <w:r>
        <w:rPr>
          <w:rFonts w:hint="eastAsia"/>
        </w:rPr>
        <w:t>微生物限量</w:t>
      </w:r>
      <w:r w:rsidRPr="000D2117">
        <w:t>”</w:t>
      </w:r>
      <w:bookmarkEnd w:id="39"/>
      <w:bookmarkEnd w:id="40"/>
    </w:p>
    <w:p w14:paraId="5D2B4A13" w14:textId="6C37A5AB" w:rsidR="00874010" w:rsidRDefault="00874010" w:rsidP="00874010">
      <w:pPr>
        <w:snapToGrid w:val="0"/>
        <w:spacing w:line="360" w:lineRule="auto"/>
        <w:ind w:firstLineChars="200" w:firstLine="480"/>
        <w:rPr>
          <w:sz w:val="24"/>
        </w:rPr>
      </w:pPr>
      <w:r>
        <w:rPr>
          <w:rFonts w:hint="eastAsia"/>
          <w:sz w:val="24"/>
        </w:rPr>
        <w:t>本文件中对于</w:t>
      </w:r>
      <w:r w:rsidRPr="006271E4">
        <w:rPr>
          <w:rFonts w:hint="eastAsia"/>
          <w:sz w:val="24"/>
        </w:rPr>
        <w:t>非变性Ⅱ型胶原蛋白</w:t>
      </w:r>
      <w:r>
        <w:rPr>
          <w:rFonts w:hint="eastAsia"/>
          <w:sz w:val="24"/>
        </w:rPr>
        <w:t>微生物限量的确定经过了科学严谨的论证。首先是参考了相似的标准，如</w:t>
      </w:r>
      <w:r w:rsidRPr="00AA324A">
        <w:rPr>
          <w:rFonts w:hint="eastAsia"/>
          <w:sz w:val="24"/>
        </w:rPr>
        <w:t>GB</w:t>
      </w:r>
      <w:r w:rsidRPr="00AA324A">
        <w:rPr>
          <w:rFonts w:hint="eastAsia"/>
          <w:sz w:val="24"/>
        </w:rPr>
        <w:t>／</w:t>
      </w:r>
      <w:r w:rsidRPr="00AA324A">
        <w:rPr>
          <w:rFonts w:hint="eastAsia"/>
          <w:sz w:val="24"/>
        </w:rPr>
        <w:t>T 31645</w:t>
      </w:r>
      <w:r w:rsidRPr="00AA324A">
        <w:rPr>
          <w:rFonts w:hint="eastAsia"/>
          <w:sz w:val="24"/>
        </w:rPr>
        <w:t>《胶原蛋白肽》和</w:t>
      </w:r>
      <w:r w:rsidRPr="00AA324A">
        <w:rPr>
          <w:rFonts w:hint="eastAsia"/>
          <w:sz w:val="24"/>
        </w:rPr>
        <w:t>QB2732</w:t>
      </w:r>
      <w:r w:rsidRPr="00AA324A">
        <w:rPr>
          <w:rFonts w:hint="eastAsia"/>
          <w:sz w:val="24"/>
        </w:rPr>
        <w:t>《水解胶原蛋白》</w:t>
      </w:r>
      <w:r>
        <w:rPr>
          <w:rFonts w:hint="eastAsia"/>
          <w:sz w:val="24"/>
        </w:rPr>
        <w:t>中微生物限量的规定；第二是</w:t>
      </w:r>
      <w:r w:rsidRPr="000D04A0">
        <w:rPr>
          <w:rFonts w:asciiTheme="minorEastAsia" w:eastAsiaTheme="minorEastAsia" w:hAnsiTheme="minorEastAsia" w:hint="eastAsia"/>
          <w:kern w:val="0"/>
          <w:sz w:val="24"/>
        </w:rPr>
        <w:t>起草工作组购买国内市场上的非变性II型胶原蛋白</w:t>
      </w:r>
      <w:r>
        <w:rPr>
          <w:rFonts w:asciiTheme="minorEastAsia" w:eastAsiaTheme="minorEastAsia" w:hAnsiTheme="minorEastAsia" w:hint="eastAsia"/>
          <w:kern w:val="0"/>
          <w:sz w:val="24"/>
        </w:rPr>
        <w:t>并进行</w:t>
      </w:r>
      <w:r w:rsidRPr="000D04A0">
        <w:rPr>
          <w:rFonts w:asciiTheme="minorEastAsia" w:eastAsiaTheme="minorEastAsia" w:hAnsiTheme="minorEastAsia" w:hint="eastAsia"/>
          <w:kern w:val="0"/>
          <w:sz w:val="24"/>
        </w:rPr>
        <w:t>质量指标检测，得到30个样本数据，并对数据进行了分析和处理</w:t>
      </w:r>
      <w:r>
        <w:rPr>
          <w:rFonts w:asciiTheme="minorEastAsia" w:eastAsiaTheme="minorEastAsia" w:hAnsiTheme="minorEastAsia" w:hint="eastAsia"/>
          <w:kern w:val="0"/>
          <w:sz w:val="24"/>
        </w:rPr>
        <w:t>，在此过程中检测了各类微生物指标；最后经专家反复讨论与斟酌，最终确定了菌落总数、大肠菌群、霉菌和酵母、沙门氏菌、金黄色葡萄球菌这5种微生物限量指标，并对其限量进行了规定</w:t>
      </w:r>
      <w:r>
        <w:rPr>
          <w:rFonts w:hint="eastAsia"/>
          <w:sz w:val="24"/>
        </w:rPr>
        <w:t>。</w:t>
      </w:r>
    </w:p>
    <w:p w14:paraId="60C5AC7E" w14:textId="23A97DE0" w:rsidR="00874010" w:rsidRDefault="00874010" w:rsidP="00874010">
      <w:pPr>
        <w:snapToGrid w:val="0"/>
        <w:spacing w:line="360" w:lineRule="auto"/>
        <w:ind w:firstLineChars="200" w:firstLine="480"/>
        <w:rPr>
          <w:sz w:val="24"/>
        </w:rPr>
      </w:pPr>
      <w:r w:rsidRPr="00AA324A">
        <w:rPr>
          <w:rFonts w:hint="eastAsia"/>
          <w:sz w:val="24"/>
        </w:rPr>
        <w:t>GB</w:t>
      </w:r>
      <w:r w:rsidRPr="00AA324A">
        <w:rPr>
          <w:rFonts w:hint="eastAsia"/>
          <w:sz w:val="24"/>
        </w:rPr>
        <w:t>／</w:t>
      </w:r>
      <w:r w:rsidRPr="00AA324A">
        <w:rPr>
          <w:rFonts w:hint="eastAsia"/>
          <w:sz w:val="24"/>
        </w:rPr>
        <w:t>T 31645</w:t>
      </w:r>
      <w:r w:rsidRPr="00AA324A">
        <w:rPr>
          <w:rFonts w:hint="eastAsia"/>
          <w:sz w:val="24"/>
        </w:rPr>
        <w:t>《胶原蛋白肽》</w:t>
      </w:r>
      <w:r>
        <w:rPr>
          <w:rFonts w:hint="eastAsia"/>
          <w:sz w:val="24"/>
        </w:rPr>
        <w:t>中对产品的微生物限量要求只有</w:t>
      </w:r>
      <w:r>
        <w:rPr>
          <w:rFonts w:hint="eastAsia"/>
          <w:sz w:val="24"/>
        </w:rPr>
        <w:t>2</w:t>
      </w:r>
      <w:r>
        <w:rPr>
          <w:rFonts w:hint="eastAsia"/>
          <w:sz w:val="24"/>
        </w:rPr>
        <w:t>种，分别为菌落总数和大肠菌群。同时规定了相应的微生物限量指标检验方法。</w:t>
      </w:r>
      <w:r w:rsidRPr="00AA324A">
        <w:rPr>
          <w:rFonts w:hint="eastAsia"/>
          <w:sz w:val="24"/>
        </w:rPr>
        <w:t>QB2732</w:t>
      </w:r>
      <w:r w:rsidRPr="00AA324A">
        <w:rPr>
          <w:rFonts w:hint="eastAsia"/>
          <w:sz w:val="24"/>
        </w:rPr>
        <w:t>《水解胶原蛋白》</w:t>
      </w:r>
      <w:r>
        <w:rPr>
          <w:rFonts w:hint="eastAsia"/>
          <w:sz w:val="24"/>
        </w:rPr>
        <w:t>中对产品的微生物限量要求有</w:t>
      </w:r>
      <w:r>
        <w:rPr>
          <w:rFonts w:hint="eastAsia"/>
          <w:sz w:val="24"/>
        </w:rPr>
        <w:t>3</w:t>
      </w:r>
      <w:r>
        <w:rPr>
          <w:rFonts w:hint="eastAsia"/>
          <w:sz w:val="24"/>
        </w:rPr>
        <w:t>种，分别为菌落总数≤</w:t>
      </w:r>
      <w:r>
        <w:rPr>
          <w:rFonts w:hint="eastAsia"/>
          <w:sz w:val="24"/>
        </w:rPr>
        <w:t>1000cfu/g</w:t>
      </w:r>
      <w:r>
        <w:rPr>
          <w:rFonts w:hint="eastAsia"/>
          <w:sz w:val="24"/>
        </w:rPr>
        <w:t>或</w:t>
      </w:r>
      <w:r>
        <w:rPr>
          <w:rFonts w:hint="eastAsia"/>
          <w:sz w:val="24"/>
        </w:rPr>
        <w:t>mL</w:t>
      </w:r>
      <w:r>
        <w:rPr>
          <w:rFonts w:hint="eastAsia"/>
          <w:sz w:val="24"/>
        </w:rPr>
        <w:t>；大肠菌群≤</w:t>
      </w:r>
      <w:r>
        <w:rPr>
          <w:rFonts w:hint="eastAsia"/>
          <w:sz w:val="24"/>
        </w:rPr>
        <w:t>30MPN/100g</w:t>
      </w:r>
      <w:r>
        <w:rPr>
          <w:rFonts w:hint="eastAsia"/>
          <w:sz w:val="24"/>
        </w:rPr>
        <w:t>或</w:t>
      </w:r>
      <w:r>
        <w:rPr>
          <w:rFonts w:hint="eastAsia"/>
          <w:sz w:val="24"/>
        </w:rPr>
        <w:t>mL</w:t>
      </w:r>
      <w:r>
        <w:rPr>
          <w:rFonts w:hint="eastAsia"/>
          <w:sz w:val="24"/>
        </w:rPr>
        <w:t>；致病菌（沙门氏菌、金黄色葡萄球菌）不应检出。</w:t>
      </w:r>
    </w:p>
    <w:p w14:paraId="1A7745B4" w14:textId="5CE88872" w:rsidR="00874010" w:rsidRPr="00340776" w:rsidRDefault="00874010" w:rsidP="00874010">
      <w:pPr>
        <w:snapToGrid w:val="0"/>
        <w:spacing w:line="360" w:lineRule="auto"/>
        <w:ind w:firstLineChars="200" w:firstLine="480"/>
        <w:rPr>
          <w:sz w:val="24"/>
        </w:rPr>
      </w:pPr>
      <w:r w:rsidRPr="00340776">
        <w:rPr>
          <w:rFonts w:hint="eastAsia"/>
          <w:sz w:val="24"/>
        </w:rPr>
        <w:t>综上，将本产品的</w:t>
      </w:r>
      <w:r w:rsidR="00C02824">
        <w:rPr>
          <w:rFonts w:hint="eastAsia"/>
          <w:sz w:val="24"/>
        </w:rPr>
        <w:t>微生物限量</w:t>
      </w:r>
      <w:r w:rsidRPr="00340776">
        <w:rPr>
          <w:rFonts w:hint="eastAsia"/>
          <w:sz w:val="24"/>
        </w:rPr>
        <w:t>指标</w:t>
      </w:r>
      <w:r w:rsidR="00C02824">
        <w:rPr>
          <w:rFonts w:hint="eastAsia"/>
          <w:sz w:val="24"/>
        </w:rPr>
        <w:t>规定为菌落总数、大肠菌群、沙门氏菌、金黄色葡萄球菌，另外，根据企业生产实践中的经验，同时经专家反复讨论，最终添加霉菌和酵母这一微生物限量指标，此为该产品生产过程中特别需要检测与控制的微生物，并经归纳总结实践经验，将其限量值规定为≤</w:t>
      </w:r>
      <w:r w:rsidR="00C02824">
        <w:rPr>
          <w:rFonts w:hint="eastAsia"/>
          <w:sz w:val="24"/>
        </w:rPr>
        <w:t>50cfu/g</w:t>
      </w:r>
      <w:r w:rsidR="00C02824">
        <w:rPr>
          <w:rFonts w:hint="eastAsia"/>
          <w:sz w:val="24"/>
        </w:rPr>
        <w:t>。特别注意的是，其他指标的采样方案及限量参考了</w:t>
      </w:r>
      <w:r w:rsidR="00C02824" w:rsidRPr="00AA324A">
        <w:rPr>
          <w:rFonts w:hint="eastAsia"/>
          <w:sz w:val="24"/>
        </w:rPr>
        <w:t>QB2732</w:t>
      </w:r>
      <w:r w:rsidR="00C02824" w:rsidRPr="00AA324A">
        <w:rPr>
          <w:rFonts w:hint="eastAsia"/>
          <w:sz w:val="24"/>
        </w:rPr>
        <w:t>《水解胶原蛋白》</w:t>
      </w:r>
      <w:r w:rsidR="00C02824">
        <w:rPr>
          <w:rFonts w:hint="eastAsia"/>
          <w:sz w:val="24"/>
        </w:rPr>
        <w:t>中的表述方式，同时也是微生物限量值的经典表述形式。</w:t>
      </w:r>
    </w:p>
    <w:p w14:paraId="76CA5D7F" w14:textId="53E0A101" w:rsidR="00DF30C8" w:rsidRPr="000D2117" w:rsidRDefault="00DF30C8" w:rsidP="00DF30C8">
      <w:pPr>
        <w:pStyle w:val="3"/>
      </w:pPr>
      <w:bookmarkStart w:id="41" w:name="_Toc174104490"/>
      <w:bookmarkStart w:id="42" w:name="_Toc176255792"/>
      <w:r w:rsidRPr="000D2117">
        <w:t>2.</w:t>
      </w:r>
      <w:r>
        <w:rPr>
          <w:rFonts w:hint="eastAsia"/>
        </w:rPr>
        <w:t>3</w:t>
      </w:r>
      <w:r w:rsidRPr="000D2117">
        <w:rPr>
          <w:rFonts w:hint="eastAsia"/>
        </w:rPr>
        <w:t>.</w:t>
      </w:r>
      <w:r w:rsidR="006A63B3">
        <w:rPr>
          <w:rFonts w:hint="eastAsia"/>
        </w:rPr>
        <w:t>5</w:t>
      </w:r>
      <w:r w:rsidRPr="000D2117">
        <w:t xml:space="preserve">  “</w:t>
      </w:r>
      <w:r>
        <w:rPr>
          <w:rFonts w:hint="eastAsia"/>
        </w:rPr>
        <w:t xml:space="preserve">4.5 </w:t>
      </w:r>
      <w:r>
        <w:rPr>
          <w:rFonts w:hint="eastAsia"/>
        </w:rPr>
        <w:t>污染物</w:t>
      </w:r>
      <w:r w:rsidRPr="000D2117">
        <w:t>”</w:t>
      </w:r>
      <w:bookmarkEnd w:id="41"/>
      <w:bookmarkEnd w:id="42"/>
    </w:p>
    <w:p w14:paraId="345F54A2" w14:textId="3F7E04F2" w:rsidR="00874010" w:rsidRDefault="006A63B3" w:rsidP="006A63B3">
      <w:pPr>
        <w:snapToGrid w:val="0"/>
        <w:spacing w:line="360" w:lineRule="auto"/>
        <w:ind w:firstLineChars="200" w:firstLine="480"/>
        <w:rPr>
          <w:sz w:val="24"/>
        </w:rPr>
      </w:pPr>
      <w:r>
        <w:rPr>
          <w:rFonts w:hint="eastAsia"/>
          <w:sz w:val="24"/>
        </w:rPr>
        <w:t>污染物</w:t>
      </w:r>
      <w:r w:rsidRPr="009521C8">
        <w:rPr>
          <w:rFonts w:hint="eastAsia"/>
          <w:sz w:val="24"/>
        </w:rPr>
        <w:t>应符合</w:t>
      </w:r>
      <w:r w:rsidRPr="009521C8">
        <w:rPr>
          <w:sz w:val="24"/>
        </w:rPr>
        <w:t xml:space="preserve">GB </w:t>
      </w:r>
      <w:r>
        <w:rPr>
          <w:rFonts w:hint="eastAsia"/>
          <w:sz w:val="24"/>
        </w:rPr>
        <w:t>2762</w:t>
      </w:r>
      <w:r w:rsidRPr="009521C8">
        <w:rPr>
          <w:rFonts w:hint="eastAsia"/>
          <w:sz w:val="24"/>
        </w:rPr>
        <w:t>《</w:t>
      </w:r>
      <w:r>
        <w:rPr>
          <w:rFonts w:hint="eastAsia"/>
          <w:sz w:val="24"/>
        </w:rPr>
        <w:t>食品安全国家标准</w:t>
      </w:r>
      <w:r>
        <w:rPr>
          <w:rFonts w:hint="eastAsia"/>
          <w:sz w:val="24"/>
        </w:rPr>
        <w:t xml:space="preserve"> </w:t>
      </w:r>
      <w:r>
        <w:rPr>
          <w:rFonts w:hint="eastAsia"/>
          <w:sz w:val="24"/>
        </w:rPr>
        <w:t>食品中污染物限量</w:t>
      </w:r>
      <w:r w:rsidRPr="009521C8">
        <w:rPr>
          <w:rFonts w:hint="eastAsia"/>
          <w:sz w:val="24"/>
        </w:rPr>
        <w:t>》的规定</w:t>
      </w:r>
      <w:r>
        <w:rPr>
          <w:rFonts w:hint="eastAsia"/>
          <w:sz w:val="24"/>
        </w:rPr>
        <w:t>。该标准</w:t>
      </w:r>
      <w:r w:rsidRPr="006A63B3">
        <w:rPr>
          <w:rFonts w:hint="eastAsia"/>
          <w:sz w:val="24"/>
        </w:rPr>
        <w:t>规定了食品中铅、镉、汞、砷、锡、镍、铬、亚硝酸盐、硝酸盐、苯并</w:t>
      </w:r>
      <w:r w:rsidRPr="006A63B3">
        <w:rPr>
          <w:rFonts w:hint="eastAsia"/>
          <w:sz w:val="24"/>
        </w:rPr>
        <w:t>[a]</w:t>
      </w:r>
      <w:r w:rsidRPr="006A63B3">
        <w:rPr>
          <w:rFonts w:hint="eastAsia"/>
          <w:sz w:val="24"/>
        </w:rPr>
        <w:t>芘、</w:t>
      </w:r>
      <w:r w:rsidRPr="006A63B3">
        <w:rPr>
          <w:rFonts w:hint="eastAsia"/>
          <w:sz w:val="24"/>
        </w:rPr>
        <w:t>N-</w:t>
      </w:r>
      <w:r w:rsidRPr="006A63B3">
        <w:rPr>
          <w:rFonts w:hint="eastAsia"/>
          <w:sz w:val="24"/>
        </w:rPr>
        <w:t>二甲基亚硝胺、多氯联苯、</w:t>
      </w:r>
      <w:r w:rsidRPr="006A63B3">
        <w:rPr>
          <w:rFonts w:hint="eastAsia"/>
          <w:sz w:val="24"/>
        </w:rPr>
        <w:t>3-</w:t>
      </w:r>
      <w:r w:rsidRPr="006A63B3">
        <w:rPr>
          <w:rFonts w:hint="eastAsia"/>
          <w:sz w:val="24"/>
        </w:rPr>
        <w:t>氯</w:t>
      </w:r>
      <w:r w:rsidRPr="006A63B3">
        <w:rPr>
          <w:rFonts w:hint="eastAsia"/>
          <w:sz w:val="24"/>
        </w:rPr>
        <w:t>-1,2-</w:t>
      </w:r>
      <w:r w:rsidRPr="006A63B3">
        <w:rPr>
          <w:rFonts w:hint="eastAsia"/>
          <w:sz w:val="24"/>
        </w:rPr>
        <w:t>丙二醇的限量指标</w:t>
      </w:r>
      <w:r>
        <w:rPr>
          <w:rFonts w:hint="eastAsia"/>
          <w:sz w:val="24"/>
        </w:rPr>
        <w:t>。由于</w:t>
      </w:r>
      <w:r w:rsidRPr="006A63B3">
        <w:rPr>
          <w:rFonts w:hint="eastAsia"/>
          <w:sz w:val="24"/>
        </w:rPr>
        <w:t>非变性Ⅱ型胶原蛋白</w:t>
      </w:r>
      <w:r>
        <w:rPr>
          <w:rFonts w:hint="eastAsia"/>
          <w:sz w:val="24"/>
        </w:rPr>
        <w:t>是以</w:t>
      </w:r>
      <w:r w:rsidRPr="006A63B3">
        <w:rPr>
          <w:rFonts w:hint="eastAsia"/>
          <w:sz w:val="24"/>
        </w:rPr>
        <w:t>鸡胸软骨为原料，经清洗、消毒、粉碎后加入氯化钾，在低温条件下干燥得到的含纤维状蛋白质的软骨粉</w:t>
      </w:r>
      <w:r>
        <w:rPr>
          <w:rFonts w:hint="eastAsia"/>
          <w:sz w:val="24"/>
        </w:rPr>
        <w:t>，属于肉制品，所以应符合</w:t>
      </w:r>
      <w:r w:rsidRPr="009521C8">
        <w:rPr>
          <w:sz w:val="24"/>
        </w:rPr>
        <w:t xml:space="preserve">GB </w:t>
      </w:r>
      <w:r>
        <w:rPr>
          <w:rFonts w:hint="eastAsia"/>
          <w:sz w:val="24"/>
        </w:rPr>
        <w:t>2762</w:t>
      </w:r>
      <w:r>
        <w:rPr>
          <w:rFonts w:hint="eastAsia"/>
          <w:sz w:val="24"/>
        </w:rPr>
        <w:t>中肉与肉制品的所有污染物类型的限量规定。</w:t>
      </w:r>
    </w:p>
    <w:p w14:paraId="312CF981" w14:textId="7401A004" w:rsidR="006A63B3" w:rsidRPr="000D2117" w:rsidRDefault="006A63B3" w:rsidP="006A63B3">
      <w:pPr>
        <w:pStyle w:val="3"/>
      </w:pPr>
      <w:bookmarkStart w:id="43" w:name="_Toc174104491"/>
      <w:bookmarkStart w:id="44" w:name="_Toc176255793"/>
      <w:r w:rsidRPr="000D2117">
        <w:t>2.</w:t>
      </w:r>
      <w:r>
        <w:rPr>
          <w:rFonts w:hint="eastAsia"/>
        </w:rPr>
        <w:t>3</w:t>
      </w:r>
      <w:r w:rsidRPr="000D2117">
        <w:rPr>
          <w:rFonts w:hint="eastAsia"/>
        </w:rPr>
        <w:t>.</w:t>
      </w:r>
      <w:r>
        <w:rPr>
          <w:rFonts w:hint="eastAsia"/>
        </w:rPr>
        <w:t>6</w:t>
      </w:r>
      <w:r w:rsidRPr="000D2117">
        <w:t xml:space="preserve">  “</w:t>
      </w:r>
      <w:r>
        <w:rPr>
          <w:rFonts w:hint="eastAsia"/>
        </w:rPr>
        <w:t xml:space="preserve">4.6 </w:t>
      </w:r>
      <w:r>
        <w:rPr>
          <w:rFonts w:hint="eastAsia"/>
        </w:rPr>
        <w:t>净含量</w:t>
      </w:r>
      <w:r w:rsidRPr="000D2117">
        <w:t>”</w:t>
      </w:r>
      <w:bookmarkEnd w:id="43"/>
      <w:bookmarkEnd w:id="44"/>
    </w:p>
    <w:p w14:paraId="2656BDBA" w14:textId="2493F4B2" w:rsidR="006A63B3" w:rsidRPr="006A63B3" w:rsidRDefault="006A63B3" w:rsidP="006A63B3">
      <w:pPr>
        <w:snapToGrid w:val="0"/>
        <w:spacing w:line="360" w:lineRule="auto"/>
        <w:ind w:firstLineChars="200" w:firstLine="480"/>
        <w:rPr>
          <w:sz w:val="24"/>
        </w:rPr>
      </w:pPr>
      <w:r w:rsidRPr="006A63B3">
        <w:rPr>
          <w:rFonts w:hint="eastAsia"/>
          <w:sz w:val="24"/>
        </w:rPr>
        <w:t>产品的净含量应符合</w:t>
      </w:r>
      <w:r w:rsidRPr="006A63B3">
        <w:rPr>
          <w:rFonts w:hint="eastAsia"/>
          <w:sz w:val="24"/>
        </w:rPr>
        <w:t>JJF</w:t>
      </w:r>
      <w:r w:rsidRPr="006A63B3">
        <w:rPr>
          <w:rFonts w:hint="eastAsia"/>
          <w:sz w:val="24"/>
        </w:rPr>
        <w:t>《定量包装商品净含量计量检验规则》的要求，此为预包装食品净含量都需遵守的标准与规定，属于常识，不做详细说明。</w:t>
      </w:r>
    </w:p>
    <w:p w14:paraId="3E36599A" w14:textId="793D52C4" w:rsidR="000D2117" w:rsidRPr="000D2117" w:rsidRDefault="000D2117" w:rsidP="000D2117">
      <w:pPr>
        <w:pStyle w:val="3"/>
      </w:pPr>
      <w:bookmarkStart w:id="45" w:name="_Toc176255794"/>
      <w:r w:rsidRPr="000D2117">
        <w:lastRenderedPageBreak/>
        <w:t>2.</w:t>
      </w:r>
      <w:r w:rsidR="00261D03">
        <w:rPr>
          <w:rFonts w:hint="eastAsia"/>
        </w:rPr>
        <w:t>4</w:t>
      </w:r>
      <w:r w:rsidRPr="000D2117">
        <w:t xml:space="preserve">  “</w:t>
      </w:r>
      <w:r w:rsidR="00B55CD3">
        <w:rPr>
          <w:rFonts w:hint="eastAsia"/>
        </w:rPr>
        <w:t>5</w:t>
      </w:r>
      <w:r w:rsidRPr="000D2117">
        <w:t xml:space="preserve"> </w:t>
      </w:r>
      <w:r w:rsidR="00B55CD3">
        <w:rPr>
          <w:rFonts w:hint="eastAsia"/>
        </w:rPr>
        <w:t>生产加工过程的卫生要求</w:t>
      </w:r>
      <w:r w:rsidRPr="000D2117">
        <w:t>”</w:t>
      </w:r>
      <w:bookmarkEnd w:id="45"/>
    </w:p>
    <w:p w14:paraId="50A24FE5" w14:textId="10ACBD74" w:rsidR="00913B63" w:rsidRPr="00913B63" w:rsidRDefault="00C37CCD" w:rsidP="00913B63">
      <w:pPr>
        <w:snapToGrid w:val="0"/>
        <w:spacing w:line="360" w:lineRule="auto"/>
        <w:ind w:firstLineChars="200" w:firstLine="480"/>
        <w:rPr>
          <w:sz w:val="24"/>
        </w:rPr>
      </w:pPr>
      <w:r w:rsidRPr="00C37CCD">
        <w:rPr>
          <w:rFonts w:hint="eastAsia"/>
          <w:sz w:val="24"/>
        </w:rPr>
        <w:t>生产加工过程的卫生要求应符合</w:t>
      </w:r>
      <w:r w:rsidRPr="00C37CCD">
        <w:rPr>
          <w:rFonts w:hint="eastAsia"/>
          <w:sz w:val="24"/>
        </w:rPr>
        <w:t xml:space="preserve">GB </w:t>
      </w:r>
      <w:r>
        <w:rPr>
          <w:rFonts w:hint="eastAsia"/>
          <w:sz w:val="24"/>
        </w:rPr>
        <w:t>14881</w:t>
      </w:r>
      <w:r w:rsidRPr="00C37CCD">
        <w:rPr>
          <w:rFonts w:hint="eastAsia"/>
          <w:sz w:val="24"/>
        </w:rPr>
        <w:t>《食品安全国家标准</w:t>
      </w:r>
      <w:r w:rsidRPr="00C37CCD">
        <w:rPr>
          <w:rFonts w:hint="eastAsia"/>
          <w:sz w:val="24"/>
        </w:rPr>
        <w:t xml:space="preserve"> </w:t>
      </w:r>
      <w:r>
        <w:rPr>
          <w:rFonts w:hint="eastAsia"/>
          <w:sz w:val="24"/>
        </w:rPr>
        <w:t>食品生产通用卫生规范</w:t>
      </w:r>
      <w:r w:rsidRPr="00C37CCD">
        <w:rPr>
          <w:rFonts w:hint="eastAsia"/>
          <w:sz w:val="24"/>
        </w:rPr>
        <w:t>》的规定。</w:t>
      </w:r>
      <w:r>
        <w:rPr>
          <w:rFonts w:hint="eastAsia"/>
          <w:sz w:val="24"/>
        </w:rPr>
        <w:t>该</w:t>
      </w:r>
      <w:r w:rsidRPr="00C37CCD">
        <w:rPr>
          <w:rFonts w:hint="eastAsia"/>
          <w:sz w:val="24"/>
        </w:rPr>
        <w:t>标准规定了食品生产过程中原料采购、加工、包装、贮存和运输等环节的场所、设施、人员的基本要求和管理准则。</w:t>
      </w:r>
      <w:r w:rsidR="00B57FFA">
        <w:rPr>
          <w:rFonts w:hint="eastAsia"/>
          <w:sz w:val="24"/>
        </w:rPr>
        <w:t>该</w:t>
      </w:r>
      <w:r w:rsidRPr="00C37CCD">
        <w:rPr>
          <w:rFonts w:hint="eastAsia"/>
          <w:sz w:val="24"/>
        </w:rPr>
        <w:t>标准适用于各类食品的生产。非变性Ⅱ型胶原蛋白</w:t>
      </w:r>
      <w:r w:rsidR="00B57FFA">
        <w:rPr>
          <w:rFonts w:hint="eastAsia"/>
          <w:sz w:val="24"/>
        </w:rPr>
        <w:t>的生产过程同样也应符合该标准的相关要求</w:t>
      </w:r>
      <w:r w:rsidR="00913B63" w:rsidRPr="00913B63">
        <w:rPr>
          <w:rFonts w:hint="eastAsia"/>
          <w:sz w:val="24"/>
        </w:rPr>
        <w:t>。</w:t>
      </w:r>
    </w:p>
    <w:p w14:paraId="66768ACF" w14:textId="54AD8B71" w:rsidR="000D2117" w:rsidRPr="000D2117" w:rsidRDefault="000D2117" w:rsidP="000D2117">
      <w:pPr>
        <w:pStyle w:val="3"/>
      </w:pPr>
      <w:bookmarkStart w:id="46" w:name="_Toc176255795"/>
      <w:r w:rsidRPr="000D2117">
        <w:t>2.</w:t>
      </w:r>
      <w:r w:rsidR="003903B2">
        <w:rPr>
          <w:rFonts w:hint="eastAsia"/>
        </w:rPr>
        <w:t>5</w:t>
      </w:r>
      <w:r w:rsidRPr="000D2117">
        <w:t xml:space="preserve">  “</w:t>
      </w:r>
      <w:r w:rsidR="000D1509">
        <w:rPr>
          <w:rFonts w:hint="eastAsia"/>
        </w:rPr>
        <w:t xml:space="preserve">6 </w:t>
      </w:r>
      <w:r w:rsidR="000D1509">
        <w:rPr>
          <w:rFonts w:hint="eastAsia"/>
        </w:rPr>
        <w:t>试验方法</w:t>
      </w:r>
      <w:r w:rsidRPr="000D2117">
        <w:t>”</w:t>
      </w:r>
      <w:bookmarkEnd w:id="46"/>
    </w:p>
    <w:p w14:paraId="7EE51AD0" w14:textId="16096AB9" w:rsidR="000D2117" w:rsidRDefault="0025527B" w:rsidP="000D2117">
      <w:pPr>
        <w:snapToGrid w:val="0"/>
        <w:spacing w:line="360" w:lineRule="auto"/>
        <w:ind w:firstLineChars="200" w:firstLine="480"/>
        <w:rPr>
          <w:sz w:val="24"/>
        </w:rPr>
      </w:pPr>
      <w:r>
        <w:rPr>
          <w:rFonts w:hint="eastAsia"/>
          <w:sz w:val="24"/>
        </w:rPr>
        <w:t>本章节规定了</w:t>
      </w:r>
      <w:r w:rsidRPr="00C37CCD">
        <w:rPr>
          <w:rFonts w:hint="eastAsia"/>
          <w:sz w:val="24"/>
        </w:rPr>
        <w:t>非变性Ⅱ型胶原蛋白</w:t>
      </w:r>
      <w:r>
        <w:rPr>
          <w:rFonts w:hint="eastAsia"/>
          <w:sz w:val="24"/>
        </w:rPr>
        <w:t>的感官指标、理化指标、微生物限量指标、净含量的试验方法，属于产品标准中必备的内容，与各类指标要求一一对应，明确列出各类指标的检测方法</w:t>
      </w:r>
      <w:r w:rsidR="000D2117" w:rsidRPr="000D2117">
        <w:rPr>
          <w:rFonts w:hint="eastAsia"/>
          <w:sz w:val="24"/>
        </w:rPr>
        <w:t>。</w:t>
      </w:r>
      <w:r>
        <w:rPr>
          <w:rFonts w:hint="eastAsia"/>
          <w:sz w:val="24"/>
        </w:rPr>
        <w:t>在产品标准中，检测方法可以在各类指标的章节中罗列，也可以单独成章，本文件将其单独成章，可以更清晰明了。</w:t>
      </w:r>
    </w:p>
    <w:p w14:paraId="1A7B09D1" w14:textId="3E337E09" w:rsidR="0025527B" w:rsidRDefault="0025527B" w:rsidP="00342E60">
      <w:pPr>
        <w:snapToGrid w:val="0"/>
        <w:spacing w:line="360" w:lineRule="auto"/>
        <w:ind w:firstLineChars="200" w:firstLine="480"/>
        <w:rPr>
          <w:sz w:val="24"/>
        </w:rPr>
      </w:pPr>
      <w:r w:rsidRPr="00342E60">
        <w:rPr>
          <w:rFonts w:hint="eastAsia"/>
          <w:sz w:val="24"/>
        </w:rPr>
        <w:t>感官指标的试验方法未有相应的国家标准进行规定，参考</w:t>
      </w:r>
      <w:r w:rsidRPr="00AA324A">
        <w:rPr>
          <w:rFonts w:hint="eastAsia"/>
          <w:sz w:val="24"/>
        </w:rPr>
        <w:t>GB</w:t>
      </w:r>
      <w:r w:rsidRPr="00AA324A">
        <w:rPr>
          <w:rFonts w:hint="eastAsia"/>
          <w:sz w:val="24"/>
        </w:rPr>
        <w:t>／</w:t>
      </w:r>
      <w:r w:rsidRPr="00AA324A">
        <w:rPr>
          <w:rFonts w:hint="eastAsia"/>
          <w:sz w:val="24"/>
        </w:rPr>
        <w:t>T 31645</w:t>
      </w:r>
      <w:r w:rsidRPr="00AA324A">
        <w:rPr>
          <w:rFonts w:hint="eastAsia"/>
          <w:sz w:val="24"/>
        </w:rPr>
        <w:t>《胶原蛋白肽》</w:t>
      </w:r>
      <w:r>
        <w:rPr>
          <w:rFonts w:hint="eastAsia"/>
          <w:sz w:val="24"/>
        </w:rPr>
        <w:t>中的表述：取</w:t>
      </w:r>
      <w:r>
        <w:rPr>
          <w:rFonts w:hint="eastAsia"/>
          <w:sz w:val="24"/>
        </w:rPr>
        <w:t>2g</w:t>
      </w:r>
      <w:r>
        <w:rPr>
          <w:rFonts w:hint="eastAsia"/>
          <w:sz w:val="24"/>
        </w:rPr>
        <w:t>试样置于洁净的烧杯中，用</w:t>
      </w:r>
      <w:r>
        <w:rPr>
          <w:rFonts w:hint="eastAsia"/>
          <w:sz w:val="24"/>
        </w:rPr>
        <w:t>200mL</w:t>
      </w:r>
      <w:r>
        <w:rPr>
          <w:rFonts w:hint="eastAsia"/>
          <w:sz w:val="24"/>
        </w:rPr>
        <w:t>温开水配制成</w:t>
      </w:r>
      <w:r>
        <w:rPr>
          <w:rFonts w:hint="eastAsia"/>
          <w:sz w:val="24"/>
        </w:rPr>
        <w:t>1%</w:t>
      </w:r>
      <w:r>
        <w:rPr>
          <w:rFonts w:hint="eastAsia"/>
          <w:sz w:val="24"/>
        </w:rPr>
        <w:t>溶液，在自然光下观察色泽和有无沉淀，闻其气味，用温开水漱口，品其滋味。本标准</w:t>
      </w:r>
      <w:r w:rsidR="00342E60">
        <w:rPr>
          <w:rFonts w:hint="eastAsia"/>
          <w:sz w:val="24"/>
        </w:rPr>
        <w:t>将其略做修改，同时加入观察形态、色泽和杂质的内容，经专家反复讨论后，表述为：</w:t>
      </w:r>
      <w:r w:rsidR="00342E60" w:rsidRPr="00342E60">
        <w:rPr>
          <w:rFonts w:hint="eastAsia"/>
          <w:sz w:val="24"/>
        </w:rPr>
        <w:t>称取约</w:t>
      </w:r>
      <w:r w:rsidR="00342E60" w:rsidRPr="00342E60">
        <w:rPr>
          <w:rFonts w:hint="eastAsia"/>
          <w:sz w:val="24"/>
        </w:rPr>
        <w:t>5 g</w:t>
      </w:r>
      <w:r w:rsidR="00342E60" w:rsidRPr="00342E60">
        <w:rPr>
          <w:rFonts w:hint="eastAsia"/>
          <w:sz w:val="24"/>
        </w:rPr>
        <w:t>样品，散放在白色搪瓷平盘中，在自然光下直接观察样品的形态、色泽和杂质。闻味和品尝，确定其气味和滋味。</w:t>
      </w:r>
    </w:p>
    <w:p w14:paraId="50D1637A" w14:textId="7C38885C" w:rsidR="00342E60" w:rsidRDefault="00342E60" w:rsidP="00342E60">
      <w:pPr>
        <w:snapToGrid w:val="0"/>
        <w:spacing w:line="360" w:lineRule="auto"/>
        <w:ind w:firstLineChars="200" w:firstLine="480"/>
        <w:rPr>
          <w:sz w:val="24"/>
        </w:rPr>
      </w:pPr>
      <w:r w:rsidRPr="00342E60">
        <w:rPr>
          <w:rFonts w:hint="eastAsia"/>
          <w:sz w:val="24"/>
        </w:rPr>
        <w:t>蛋白质指标按</w:t>
      </w:r>
      <w:r w:rsidRPr="00342E60">
        <w:rPr>
          <w:rFonts w:hint="eastAsia"/>
          <w:sz w:val="24"/>
        </w:rPr>
        <w:t>GB 5009.5</w:t>
      </w:r>
      <w:r w:rsidRPr="00342E60">
        <w:rPr>
          <w:rFonts w:hint="eastAsia"/>
          <w:sz w:val="24"/>
        </w:rPr>
        <w:t>《食品安全国家标准</w:t>
      </w:r>
      <w:r w:rsidRPr="00342E60">
        <w:rPr>
          <w:rFonts w:hint="eastAsia"/>
          <w:sz w:val="24"/>
        </w:rPr>
        <w:t xml:space="preserve"> </w:t>
      </w:r>
      <w:r w:rsidRPr="00342E60">
        <w:rPr>
          <w:rFonts w:hint="eastAsia"/>
          <w:sz w:val="24"/>
        </w:rPr>
        <w:t>食品中蛋白质的测定》规定的方法测定，转换系数为</w:t>
      </w:r>
      <w:r w:rsidRPr="00342E60">
        <w:rPr>
          <w:rFonts w:hint="eastAsia"/>
          <w:sz w:val="24"/>
        </w:rPr>
        <w:t>5.79</w:t>
      </w:r>
      <w:r w:rsidRPr="00342E60">
        <w:rPr>
          <w:rFonts w:hint="eastAsia"/>
          <w:sz w:val="24"/>
        </w:rPr>
        <w:t>。该标准规定了食品中蛋白质的测定方法，第一法凯氏定氮法和第二法分光光度法适用于各种食品中蛋白质的测定，第三法燃烧法则适用于蛋白质含量在</w:t>
      </w:r>
      <w:r w:rsidRPr="00342E60">
        <w:rPr>
          <w:rFonts w:hint="eastAsia"/>
          <w:sz w:val="24"/>
        </w:rPr>
        <w:t>10g/100g</w:t>
      </w:r>
      <w:r w:rsidRPr="00342E60">
        <w:rPr>
          <w:rFonts w:hint="eastAsia"/>
          <w:sz w:val="24"/>
        </w:rPr>
        <w:t>以上的粮食、豆类奶粉、米粉、蛋白质粉等固体试样的测定。</w:t>
      </w:r>
    </w:p>
    <w:p w14:paraId="39100E56" w14:textId="35245E2D" w:rsidR="00342E60" w:rsidRDefault="00342E60" w:rsidP="00342E60">
      <w:pPr>
        <w:snapToGrid w:val="0"/>
        <w:spacing w:line="360" w:lineRule="auto"/>
        <w:ind w:firstLineChars="200" w:firstLine="480"/>
        <w:rPr>
          <w:sz w:val="24"/>
        </w:rPr>
      </w:pPr>
      <w:r w:rsidRPr="00342E60">
        <w:rPr>
          <w:rFonts w:hint="eastAsia"/>
          <w:sz w:val="24"/>
        </w:rPr>
        <w:t>非变性Ⅱ型胶原蛋白按附录</w:t>
      </w:r>
      <w:r w:rsidRPr="00342E60">
        <w:rPr>
          <w:rFonts w:hint="eastAsia"/>
          <w:sz w:val="24"/>
        </w:rPr>
        <w:t>A</w:t>
      </w:r>
      <w:r w:rsidRPr="00342E60">
        <w:rPr>
          <w:rFonts w:hint="eastAsia"/>
          <w:sz w:val="24"/>
        </w:rPr>
        <w:t>规定的方法测定。该</w:t>
      </w:r>
      <w:r>
        <w:rPr>
          <w:rFonts w:hint="eastAsia"/>
          <w:sz w:val="24"/>
        </w:rPr>
        <w:t>方法属于本文件中特有的新研制的</w:t>
      </w:r>
      <w:r w:rsidRPr="00342E60">
        <w:rPr>
          <w:rFonts w:hint="eastAsia"/>
          <w:sz w:val="24"/>
        </w:rPr>
        <w:t>非变性Ⅱ型胶原蛋白</w:t>
      </w:r>
      <w:r>
        <w:rPr>
          <w:rFonts w:hint="eastAsia"/>
          <w:sz w:val="24"/>
        </w:rPr>
        <w:t>检测方法，研制过程详见附录</w:t>
      </w:r>
      <w:r>
        <w:rPr>
          <w:rFonts w:hint="eastAsia"/>
          <w:sz w:val="24"/>
        </w:rPr>
        <w:t>A</w:t>
      </w:r>
      <w:r>
        <w:rPr>
          <w:rFonts w:hint="eastAsia"/>
          <w:sz w:val="24"/>
        </w:rPr>
        <w:t>的部分</w:t>
      </w:r>
      <w:r w:rsidRPr="00342E60">
        <w:rPr>
          <w:rFonts w:hint="eastAsia"/>
          <w:sz w:val="24"/>
        </w:rPr>
        <w:t>。</w:t>
      </w:r>
    </w:p>
    <w:p w14:paraId="16893652" w14:textId="0F584015" w:rsidR="00212A0A" w:rsidRDefault="00212A0A" w:rsidP="00212A0A">
      <w:pPr>
        <w:snapToGrid w:val="0"/>
        <w:spacing w:line="360" w:lineRule="auto"/>
        <w:ind w:firstLineChars="200" w:firstLine="480"/>
        <w:rPr>
          <w:sz w:val="24"/>
        </w:rPr>
      </w:pPr>
      <w:r>
        <w:rPr>
          <w:rFonts w:hint="eastAsia"/>
          <w:sz w:val="24"/>
        </w:rPr>
        <w:t>水分</w:t>
      </w:r>
      <w:r w:rsidRPr="00342E60">
        <w:rPr>
          <w:rFonts w:hint="eastAsia"/>
          <w:sz w:val="24"/>
        </w:rPr>
        <w:t>指标按</w:t>
      </w:r>
      <w:r w:rsidRPr="00342E60">
        <w:rPr>
          <w:rFonts w:hint="eastAsia"/>
          <w:sz w:val="24"/>
        </w:rPr>
        <w:t>GB 5009.</w:t>
      </w:r>
      <w:r>
        <w:rPr>
          <w:rFonts w:hint="eastAsia"/>
          <w:sz w:val="24"/>
        </w:rPr>
        <w:t>3</w:t>
      </w:r>
      <w:r w:rsidRPr="00342E60">
        <w:rPr>
          <w:rFonts w:hint="eastAsia"/>
          <w:sz w:val="24"/>
        </w:rPr>
        <w:t>《食品安全国家标准</w:t>
      </w:r>
      <w:r w:rsidRPr="00342E60">
        <w:rPr>
          <w:rFonts w:hint="eastAsia"/>
          <w:sz w:val="24"/>
        </w:rPr>
        <w:t xml:space="preserve"> </w:t>
      </w:r>
      <w:r w:rsidRPr="00342E60">
        <w:rPr>
          <w:rFonts w:hint="eastAsia"/>
          <w:sz w:val="24"/>
        </w:rPr>
        <w:t>食品中</w:t>
      </w:r>
      <w:r>
        <w:rPr>
          <w:rFonts w:hint="eastAsia"/>
          <w:sz w:val="24"/>
        </w:rPr>
        <w:t>水分</w:t>
      </w:r>
      <w:r w:rsidRPr="00342E60">
        <w:rPr>
          <w:rFonts w:hint="eastAsia"/>
          <w:sz w:val="24"/>
        </w:rPr>
        <w:t>的测定》规定的</w:t>
      </w:r>
      <w:r>
        <w:rPr>
          <w:rFonts w:hint="eastAsia"/>
          <w:sz w:val="24"/>
        </w:rPr>
        <w:t>第一法</w:t>
      </w:r>
      <w:r w:rsidRPr="00342E60">
        <w:rPr>
          <w:rFonts w:hint="eastAsia"/>
          <w:sz w:val="24"/>
        </w:rPr>
        <w:t>测定。该标准规定了食品中</w:t>
      </w:r>
      <w:r>
        <w:rPr>
          <w:rFonts w:hint="eastAsia"/>
          <w:sz w:val="24"/>
        </w:rPr>
        <w:t>水分</w:t>
      </w:r>
      <w:r w:rsidRPr="00342E60">
        <w:rPr>
          <w:rFonts w:hint="eastAsia"/>
          <w:sz w:val="24"/>
        </w:rPr>
        <w:t>的测定方法，第一法</w:t>
      </w:r>
      <w:r>
        <w:rPr>
          <w:rFonts w:hint="eastAsia"/>
          <w:sz w:val="24"/>
        </w:rPr>
        <w:t>为直接干燥法，</w:t>
      </w:r>
      <w:r w:rsidRPr="00212A0A">
        <w:rPr>
          <w:rFonts w:hint="eastAsia"/>
          <w:sz w:val="24"/>
        </w:rPr>
        <w:t>适用于在</w:t>
      </w:r>
      <w:r w:rsidRPr="00212A0A">
        <w:rPr>
          <w:rFonts w:hint="eastAsia"/>
          <w:sz w:val="24"/>
        </w:rPr>
        <w:t>101</w:t>
      </w:r>
      <w:r w:rsidRPr="00212A0A">
        <w:rPr>
          <w:rFonts w:hint="eastAsia"/>
          <w:sz w:val="24"/>
        </w:rPr>
        <w:t>°</w:t>
      </w:r>
      <w:r w:rsidRPr="00212A0A">
        <w:rPr>
          <w:rFonts w:hint="eastAsia"/>
          <w:sz w:val="24"/>
        </w:rPr>
        <w:t>C~105</w:t>
      </w:r>
      <w:r w:rsidRPr="00212A0A">
        <w:rPr>
          <w:rFonts w:hint="eastAsia"/>
          <w:sz w:val="24"/>
        </w:rPr>
        <w:t>°</w:t>
      </w:r>
      <w:r w:rsidRPr="00212A0A">
        <w:rPr>
          <w:rFonts w:hint="eastAsia"/>
          <w:sz w:val="24"/>
        </w:rPr>
        <w:t>C</w:t>
      </w:r>
      <w:r w:rsidRPr="00212A0A">
        <w:rPr>
          <w:rFonts w:hint="eastAsia"/>
          <w:sz w:val="24"/>
        </w:rPr>
        <w:t>下</w:t>
      </w:r>
      <w:r>
        <w:rPr>
          <w:rFonts w:hint="eastAsia"/>
          <w:sz w:val="24"/>
        </w:rPr>
        <w:t>，</w:t>
      </w:r>
      <w:r w:rsidRPr="00212A0A">
        <w:rPr>
          <w:rFonts w:hint="eastAsia"/>
          <w:sz w:val="24"/>
        </w:rPr>
        <w:t>蔬菜、谷物及其制品、水产品、豆制品、乳制品、肉制品、卤菜制品、粮食</w:t>
      </w:r>
      <w:r w:rsidRPr="00212A0A">
        <w:rPr>
          <w:rFonts w:hint="eastAsia"/>
          <w:sz w:val="24"/>
        </w:rPr>
        <w:t>(</w:t>
      </w:r>
      <w:r w:rsidRPr="00212A0A">
        <w:rPr>
          <w:rFonts w:hint="eastAsia"/>
          <w:sz w:val="24"/>
        </w:rPr>
        <w:t>水分含量低于</w:t>
      </w:r>
      <w:r w:rsidRPr="00212A0A">
        <w:rPr>
          <w:rFonts w:hint="eastAsia"/>
          <w:sz w:val="24"/>
        </w:rPr>
        <w:t>18%)</w:t>
      </w:r>
      <w:r w:rsidRPr="00212A0A">
        <w:rPr>
          <w:rFonts w:hint="eastAsia"/>
          <w:sz w:val="24"/>
        </w:rPr>
        <w:t>、油料</w:t>
      </w:r>
      <w:r w:rsidRPr="00212A0A">
        <w:rPr>
          <w:rFonts w:hint="eastAsia"/>
          <w:sz w:val="24"/>
        </w:rPr>
        <w:t>(</w:t>
      </w:r>
      <w:r w:rsidRPr="00212A0A">
        <w:rPr>
          <w:rFonts w:hint="eastAsia"/>
          <w:sz w:val="24"/>
        </w:rPr>
        <w:t>水分含量低于</w:t>
      </w:r>
      <w:r w:rsidRPr="00212A0A">
        <w:rPr>
          <w:rFonts w:hint="eastAsia"/>
          <w:sz w:val="24"/>
        </w:rPr>
        <w:t>13%)</w:t>
      </w:r>
      <w:r w:rsidRPr="00212A0A">
        <w:rPr>
          <w:rFonts w:hint="eastAsia"/>
          <w:sz w:val="24"/>
        </w:rPr>
        <w:t>、淀粉及茶叶类等食品中水分的测定</w:t>
      </w:r>
      <w:r>
        <w:rPr>
          <w:rFonts w:hint="eastAsia"/>
          <w:sz w:val="24"/>
        </w:rPr>
        <w:t>，</w:t>
      </w:r>
      <w:r w:rsidRPr="00212A0A">
        <w:rPr>
          <w:rFonts w:hint="eastAsia"/>
          <w:sz w:val="24"/>
        </w:rPr>
        <w:t>不适用于水分含量小于</w:t>
      </w:r>
      <w:r w:rsidRPr="00212A0A">
        <w:rPr>
          <w:rFonts w:hint="eastAsia"/>
          <w:sz w:val="24"/>
        </w:rPr>
        <w:t>0.5g/100g</w:t>
      </w:r>
      <w:r w:rsidRPr="00212A0A">
        <w:rPr>
          <w:rFonts w:hint="eastAsia"/>
          <w:sz w:val="24"/>
        </w:rPr>
        <w:t>的样品</w:t>
      </w:r>
      <w:r w:rsidRPr="00342E60">
        <w:rPr>
          <w:rFonts w:hint="eastAsia"/>
          <w:sz w:val="24"/>
        </w:rPr>
        <w:t>。</w:t>
      </w:r>
    </w:p>
    <w:p w14:paraId="5A417E3C" w14:textId="1D6DAC57" w:rsidR="00635202" w:rsidRDefault="00635202" w:rsidP="00635202">
      <w:pPr>
        <w:snapToGrid w:val="0"/>
        <w:spacing w:line="360" w:lineRule="auto"/>
        <w:ind w:firstLineChars="200" w:firstLine="480"/>
        <w:rPr>
          <w:sz w:val="24"/>
        </w:rPr>
      </w:pPr>
      <w:r>
        <w:rPr>
          <w:rFonts w:hint="eastAsia"/>
          <w:sz w:val="24"/>
        </w:rPr>
        <w:t>菌落总数</w:t>
      </w:r>
      <w:r w:rsidRPr="00342E60">
        <w:rPr>
          <w:rFonts w:hint="eastAsia"/>
          <w:sz w:val="24"/>
        </w:rPr>
        <w:t>指标按</w:t>
      </w:r>
      <w:r w:rsidRPr="00635202">
        <w:rPr>
          <w:rFonts w:hint="eastAsia"/>
          <w:sz w:val="24"/>
        </w:rPr>
        <w:t>GB</w:t>
      </w:r>
      <w:r w:rsidRPr="00635202">
        <w:rPr>
          <w:sz w:val="24"/>
        </w:rPr>
        <w:t xml:space="preserve"> 4789.2</w:t>
      </w:r>
      <w:r w:rsidRPr="00342E60">
        <w:rPr>
          <w:rFonts w:hint="eastAsia"/>
          <w:sz w:val="24"/>
        </w:rPr>
        <w:t>《</w:t>
      </w:r>
      <w:r w:rsidRPr="00635202">
        <w:rPr>
          <w:rFonts w:hint="eastAsia"/>
          <w:sz w:val="24"/>
        </w:rPr>
        <w:t>食品安全国家标准</w:t>
      </w:r>
      <w:r>
        <w:rPr>
          <w:rFonts w:hint="eastAsia"/>
          <w:sz w:val="24"/>
        </w:rPr>
        <w:t xml:space="preserve"> </w:t>
      </w:r>
      <w:r w:rsidRPr="00635202">
        <w:rPr>
          <w:rFonts w:hint="eastAsia"/>
          <w:sz w:val="24"/>
        </w:rPr>
        <w:t>食品微生物学检验</w:t>
      </w:r>
      <w:r>
        <w:rPr>
          <w:rFonts w:hint="eastAsia"/>
          <w:sz w:val="24"/>
        </w:rPr>
        <w:t xml:space="preserve"> </w:t>
      </w:r>
      <w:r w:rsidRPr="00635202">
        <w:rPr>
          <w:rFonts w:hint="eastAsia"/>
          <w:sz w:val="24"/>
        </w:rPr>
        <w:t>菌落</w:t>
      </w:r>
      <w:r w:rsidRPr="00635202">
        <w:rPr>
          <w:rFonts w:hint="eastAsia"/>
          <w:sz w:val="24"/>
        </w:rPr>
        <w:lastRenderedPageBreak/>
        <w:t>总数测</w:t>
      </w:r>
      <w:r>
        <w:rPr>
          <w:rFonts w:hint="eastAsia"/>
          <w:sz w:val="24"/>
        </w:rPr>
        <w:t>定</w:t>
      </w:r>
      <w:r w:rsidRPr="00342E60">
        <w:rPr>
          <w:rFonts w:hint="eastAsia"/>
          <w:sz w:val="24"/>
        </w:rPr>
        <w:t>》规定的</w:t>
      </w:r>
      <w:r>
        <w:rPr>
          <w:rFonts w:hint="eastAsia"/>
          <w:sz w:val="24"/>
        </w:rPr>
        <w:t>方法测定</w:t>
      </w:r>
      <w:r w:rsidRPr="00342E60">
        <w:rPr>
          <w:rFonts w:hint="eastAsia"/>
          <w:sz w:val="24"/>
        </w:rPr>
        <w:t>。</w:t>
      </w:r>
      <w:r w:rsidR="008C56CC">
        <w:rPr>
          <w:rFonts w:hint="eastAsia"/>
          <w:sz w:val="24"/>
        </w:rPr>
        <w:t>该</w:t>
      </w:r>
      <w:r w:rsidR="008C56CC" w:rsidRPr="008C56CC">
        <w:rPr>
          <w:rFonts w:hint="eastAsia"/>
          <w:sz w:val="24"/>
        </w:rPr>
        <w:t>标准规定了食品中菌落总数的测定方法</w:t>
      </w:r>
      <w:r w:rsidR="008C56CC">
        <w:rPr>
          <w:rFonts w:hint="eastAsia"/>
          <w:sz w:val="24"/>
        </w:rPr>
        <w:t>，</w:t>
      </w:r>
      <w:r w:rsidR="008C56CC" w:rsidRPr="008C56CC">
        <w:rPr>
          <w:rFonts w:hint="eastAsia"/>
          <w:sz w:val="24"/>
        </w:rPr>
        <w:t>适用于食品中菌落总数的测定</w:t>
      </w:r>
      <w:r w:rsidRPr="00342E60">
        <w:rPr>
          <w:rFonts w:hint="eastAsia"/>
          <w:sz w:val="24"/>
        </w:rPr>
        <w:t>。</w:t>
      </w:r>
      <w:r w:rsidR="00D0733D">
        <w:rPr>
          <w:rFonts w:hint="eastAsia"/>
          <w:sz w:val="24"/>
        </w:rPr>
        <w:t>而菌落总数指的是</w:t>
      </w:r>
      <w:r w:rsidR="00D0733D" w:rsidRPr="00D0733D">
        <w:rPr>
          <w:rFonts w:hint="eastAsia"/>
          <w:sz w:val="24"/>
        </w:rPr>
        <w:t>食品检样经过处理，在一定条件下（如培养基、培养温度和培养时间等）培养后，所得每</w:t>
      </w:r>
      <w:r w:rsidR="00D0733D">
        <w:rPr>
          <w:rFonts w:hint="eastAsia"/>
          <w:sz w:val="24"/>
        </w:rPr>
        <w:t>g</w:t>
      </w:r>
      <w:r w:rsidR="00D0733D" w:rsidRPr="00D0733D">
        <w:rPr>
          <w:rFonts w:hint="eastAsia"/>
          <w:sz w:val="24"/>
        </w:rPr>
        <w:t>（</w:t>
      </w:r>
      <w:r w:rsidR="00D0733D">
        <w:rPr>
          <w:rFonts w:hint="eastAsia"/>
          <w:sz w:val="24"/>
        </w:rPr>
        <w:t>mL</w:t>
      </w:r>
      <w:r w:rsidR="00D0733D" w:rsidRPr="00D0733D">
        <w:rPr>
          <w:rFonts w:hint="eastAsia"/>
          <w:sz w:val="24"/>
        </w:rPr>
        <w:t>）检样中形成的微生物菌落总</w:t>
      </w:r>
      <w:r w:rsidR="00D0733D">
        <w:rPr>
          <w:rFonts w:hint="eastAsia"/>
          <w:sz w:val="24"/>
        </w:rPr>
        <w:t>数。</w:t>
      </w:r>
    </w:p>
    <w:p w14:paraId="3634DD36" w14:textId="5C13037E" w:rsidR="008D0F37" w:rsidRDefault="008D0F37" w:rsidP="008D0F37">
      <w:pPr>
        <w:snapToGrid w:val="0"/>
        <w:spacing w:line="360" w:lineRule="auto"/>
        <w:ind w:firstLineChars="200" w:firstLine="480"/>
        <w:rPr>
          <w:sz w:val="24"/>
        </w:rPr>
      </w:pPr>
      <w:r>
        <w:rPr>
          <w:rFonts w:hint="eastAsia"/>
          <w:sz w:val="24"/>
        </w:rPr>
        <w:t>大肠杆菌</w:t>
      </w:r>
      <w:r w:rsidRPr="00342E60">
        <w:rPr>
          <w:rFonts w:hint="eastAsia"/>
          <w:sz w:val="24"/>
        </w:rPr>
        <w:t>指标按</w:t>
      </w:r>
      <w:r w:rsidRPr="00635202">
        <w:rPr>
          <w:rFonts w:hint="eastAsia"/>
          <w:sz w:val="24"/>
        </w:rPr>
        <w:t>GB</w:t>
      </w:r>
      <w:r w:rsidRPr="00635202">
        <w:rPr>
          <w:sz w:val="24"/>
        </w:rPr>
        <w:t xml:space="preserve"> 4789.</w:t>
      </w:r>
      <w:r>
        <w:rPr>
          <w:rFonts w:hint="eastAsia"/>
          <w:sz w:val="24"/>
        </w:rPr>
        <w:t>3</w:t>
      </w:r>
      <w:r>
        <w:rPr>
          <w:rFonts w:hint="eastAsia"/>
          <w:sz w:val="24"/>
        </w:rPr>
        <w:t>《</w:t>
      </w:r>
      <w:r w:rsidRPr="008D0F37">
        <w:rPr>
          <w:rFonts w:hint="eastAsia"/>
          <w:sz w:val="24"/>
        </w:rPr>
        <w:t>食品安全国家标准</w:t>
      </w:r>
      <w:r>
        <w:rPr>
          <w:rFonts w:hint="eastAsia"/>
          <w:sz w:val="24"/>
        </w:rPr>
        <w:t xml:space="preserve"> </w:t>
      </w:r>
      <w:r w:rsidRPr="008D0F37">
        <w:rPr>
          <w:rFonts w:hint="eastAsia"/>
          <w:sz w:val="24"/>
        </w:rPr>
        <w:t>食品微生物学检验</w:t>
      </w:r>
      <w:r>
        <w:rPr>
          <w:rFonts w:hint="eastAsia"/>
          <w:sz w:val="24"/>
        </w:rPr>
        <w:t xml:space="preserve"> </w:t>
      </w:r>
      <w:r w:rsidRPr="008D0F37">
        <w:rPr>
          <w:rFonts w:hint="eastAsia"/>
          <w:sz w:val="24"/>
        </w:rPr>
        <w:t>大肠菌群计数</w:t>
      </w:r>
      <w:r>
        <w:rPr>
          <w:rFonts w:hint="eastAsia"/>
          <w:sz w:val="24"/>
        </w:rPr>
        <w:t>》</w:t>
      </w:r>
      <w:r w:rsidRPr="00342E60">
        <w:rPr>
          <w:rFonts w:hint="eastAsia"/>
          <w:sz w:val="24"/>
        </w:rPr>
        <w:t>规定的</w:t>
      </w:r>
      <w:r>
        <w:rPr>
          <w:rFonts w:hint="eastAsia"/>
          <w:sz w:val="24"/>
        </w:rPr>
        <w:t>方法测定</w:t>
      </w:r>
      <w:r w:rsidRPr="00342E60">
        <w:rPr>
          <w:rFonts w:hint="eastAsia"/>
          <w:sz w:val="24"/>
        </w:rPr>
        <w:t>。</w:t>
      </w:r>
      <w:r>
        <w:rPr>
          <w:rFonts w:hint="eastAsia"/>
          <w:sz w:val="24"/>
        </w:rPr>
        <w:t>该</w:t>
      </w:r>
      <w:r w:rsidRPr="008C56CC">
        <w:rPr>
          <w:rFonts w:hint="eastAsia"/>
          <w:sz w:val="24"/>
        </w:rPr>
        <w:t>标准</w:t>
      </w:r>
      <w:r w:rsidRPr="008D0F37">
        <w:rPr>
          <w:rFonts w:hint="eastAsia"/>
          <w:sz w:val="24"/>
        </w:rPr>
        <w:t>规定了食品中大肠菌群计数的方法</w:t>
      </w:r>
      <w:r>
        <w:rPr>
          <w:rFonts w:hint="eastAsia"/>
          <w:sz w:val="24"/>
        </w:rPr>
        <w:t>，</w:t>
      </w:r>
      <w:r w:rsidRPr="008D0F37">
        <w:rPr>
          <w:rFonts w:hint="eastAsia"/>
          <w:sz w:val="24"/>
        </w:rPr>
        <w:t>第一法大肠菌群</w:t>
      </w:r>
      <w:r w:rsidRPr="008D0F37">
        <w:rPr>
          <w:rFonts w:hint="eastAsia"/>
          <w:sz w:val="24"/>
        </w:rPr>
        <w:t>MPN</w:t>
      </w:r>
      <w:r w:rsidRPr="008D0F37">
        <w:rPr>
          <w:rFonts w:hint="eastAsia"/>
          <w:sz w:val="24"/>
        </w:rPr>
        <w:t>计数法适用于大肠菌群含量较低的食品中大肠菌群的计数</w:t>
      </w:r>
      <w:r>
        <w:rPr>
          <w:rFonts w:hint="eastAsia"/>
          <w:sz w:val="24"/>
        </w:rPr>
        <w:t>；</w:t>
      </w:r>
      <w:r w:rsidRPr="008D0F37">
        <w:rPr>
          <w:rFonts w:hint="eastAsia"/>
          <w:sz w:val="24"/>
        </w:rPr>
        <w:t>第二法大肠菌群平板计数法适用于大肠菌群含量较高的食品中大肠菌群的计数</w:t>
      </w:r>
      <w:r w:rsidRPr="00342E60">
        <w:rPr>
          <w:rFonts w:hint="eastAsia"/>
          <w:sz w:val="24"/>
        </w:rPr>
        <w:t>。</w:t>
      </w:r>
      <w:r>
        <w:rPr>
          <w:rFonts w:hint="eastAsia"/>
          <w:sz w:val="24"/>
        </w:rPr>
        <w:t>而大肠杆菌指的是</w:t>
      </w:r>
      <w:r w:rsidRPr="008D0F37">
        <w:rPr>
          <w:rFonts w:hint="eastAsia"/>
          <w:sz w:val="24"/>
        </w:rPr>
        <w:t>在一定培养条件下能发酵乳糖、产酸产气的需氧和兼性厌氧革兰氏阴性无芽胞杆菌</w:t>
      </w:r>
      <w:r>
        <w:rPr>
          <w:rFonts w:hint="eastAsia"/>
          <w:sz w:val="24"/>
        </w:rPr>
        <w:t>。</w:t>
      </w:r>
    </w:p>
    <w:p w14:paraId="1CAC0F8A" w14:textId="5CD91C2B" w:rsidR="00290292" w:rsidRDefault="00290292" w:rsidP="00290292">
      <w:pPr>
        <w:snapToGrid w:val="0"/>
        <w:spacing w:line="360" w:lineRule="auto"/>
        <w:ind w:firstLineChars="200" w:firstLine="480"/>
        <w:rPr>
          <w:sz w:val="24"/>
        </w:rPr>
      </w:pPr>
      <w:r>
        <w:rPr>
          <w:rFonts w:hint="eastAsia"/>
          <w:sz w:val="24"/>
        </w:rPr>
        <w:t>霉菌和酵母</w:t>
      </w:r>
      <w:r w:rsidRPr="00342E60">
        <w:rPr>
          <w:rFonts w:hint="eastAsia"/>
          <w:sz w:val="24"/>
        </w:rPr>
        <w:t>指标按</w:t>
      </w:r>
      <w:r w:rsidRPr="00635202">
        <w:rPr>
          <w:rFonts w:hint="eastAsia"/>
          <w:sz w:val="24"/>
        </w:rPr>
        <w:t>GB</w:t>
      </w:r>
      <w:r w:rsidRPr="00635202">
        <w:rPr>
          <w:sz w:val="24"/>
        </w:rPr>
        <w:t xml:space="preserve"> 4789.</w:t>
      </w:r>
      <w:r>
        <w:rPr>
          <w:rFonts w:hint="eastAsia"/>
          <w:sz w:val="24"/>
        </w:rPr>
        <w:t>15</w:t>
      </w:r>
      <w:r>
        <w:rPr>
          <w:rFonts w:hint="eastAsia"/>
          <w:sz w:val="24"/>
        </w:rPr>
        <w:t>《</w:t>
      </w:r>
      <w:r w:rsidRPr="008D0F37">
        <w:rPr>
          <w:rFonts w:hint="eastAsia"/>
          <w:sz w:val="24"/>
        </w:rPr>
        <w:t>食品安全国家标准</w:t>
      </w:r>
      <w:r>
        <w:rPr>
          <w:rFonts w:hint="eastAsia"/>
          <w:sz w:val="24"/>
        </w:rPr>
        <w:t xml:space="preserve"> </w:t>
      </w:r>
      <w:r w:rsidRPr="008D0F37">
        <w:rPr>
          <w:rFonts w:hint="eastAsia"/>
          <w:sz w:val="24"/>
        </w:rPr>
        <w:t>食品微生物学检验</w:t>
      </w:r>
      <w:r>
        <w:rPr>
          <w:rFonts w:hint="eastAsia"/>
          <w:sz w:val="24"/>
        </w:rPr>
        <w:t xml:space="preserve"> </w:t>
      </w:r>
      <w:r>
        <w:rPr>
          <w:rFonts w:hint="eastAsia"/>
          <w:sz w:val="24"/>
        </w:rPr>
        <w:t>霉菌和酵母</w:t>
      </w:r>
      <w:r w:rsidRPr="008D0F37">
        <w:rPr>
          <w:rFonts w:hint="eastAsia"/>
          <w:sz w:val="24"/>
        </w:rPr>
        <w:t>计数</w:t>
      </w:r>
      <w:r>
        <w:rPr>
          <w:rFonts w:hint="eastAsia"/>
          <w:sz w:val="24"/>
        </w:rPr>
        <w:t>》</w:t>
      </w:r>
      <w:r w:rsidRPr="00342E60">
        <w:rPr>
          <w:rFonts w:hint="eastAsia"/>
          <w:sz w:val="24"/>
        </w:rPr>
        <w:t>规定的</w:t>
      </w:r>
      <w:r>
        <w:rPr>
          <w:rFonts w:hint="eastAsia"/>
          <w:sz w:val="24"/>
        </w:rPr>
        <w:t>方法测定</w:t>
      </w:r>
      <w:r w:rsidRPr="00342E60">
        <w:rPr>
          <w:rFonts w:hint="eastAsia"/>
          <w:sz w:val="24"/>
        </w:rPr>
        <w:t>。</w:t>
      </w:r>
      <w:r>
        <w:rPr>
          <w:rFonts w:hint="eastAsia"/>
          <w:sz w:val="24"/>
        </w:rPr>
        <w:t>该</w:t>
      </w:r>
      <w:r w:rsidRPr="008C56CC">
        <w:rPr>
          <w:rFonts w:hint="eastAsia"/>
          <w:sz w:val="24"/>
        </w:rPr>
        <w:t>标准</w:t>
      </w:r>
      <w:r w:rsidRPr="008D0F37">
        <w:rPr>
          <w:rFonts w:hint="eastAsia"/>
          <w:sz w:val="24"/>
        </w:rPr>
        <w:t>规定了食品中</w:t>
      </w:r>
      <w:r>
        <w:rPr>
          <w:rFonts w:hint="eastAsia"/>
          <w:sz w:val="24"/>
        </w:rPr>
        <w:t>霉菌和酵母的</w:t>
      </w:r>
      <w:r w:rsidRPr="008D0F37">
        <w:rPr>
          <w:rFonts w:hint="eastAsia"/>
          <w:sz w:val="24"/>
        </w:rPr>
        <w:t>计数方法</w:t>
      </w:r>
      <w:r>
        <w:rPr>
          <w:rFonts w:hint="eastAsia"/>
          <w:sz w:val="24"/>
        </w:rPr>
        <w:t>，</w:t>
      </w:r>
      <w:r w:rsidRPr="008D0F37">
        <w:rPr>
          <w:rFonts w:hint="eastAsia"/>
          <w:sz w:val="24"/>
        </w:rPr>
        <w:t>第一法</w:t>
      </w:r>
      <w:r>
        <w:rPr>
          <w:rFonts w:hint="eastAsia"/>
          <w:sz w:val="24"/>
        </w:rPr>
        <w:t>霉菌和酵母</w:t>
      </w:r>
      <w:r w:rsidRPr="008D0F37">
        <w:rPr>
          <w:rFonts w:hint="eastAsia"/>
          <w:sz w:val="24"/>
        </w:rPr>
        <w:t>平板计数法适用于</w:t>
      </w:r>
      <w:r w:rsidR="008642F6">
        <w:rPr>
          <w:rFonts w:hint="eastAsia"/>
          <w:sz w:val="24"/>
        </w:rPr>
        <w:t>各类食品中霉菌和酵母的计数</w:t>
      </w:r>
      <w:r>
        <w:rPr>
          <w:rFonts w:hint="eastAsia"/>
          <w:sz w:val="24"/>
        </w:rPr>
        <w:t>。</w:t>
      </w:r>
    </w:p>
    <w:p w14:paraId="5B1412BF" w14:textId="1C0A0CEC" w:rsidR="00B313A2" w:rsidRDefault="00B313A2" w:rsidP="00B313A2">
      <w:pPr>
        <w:snapToGrid w:val="0"/>
        <w:spacing w:line="360" w:lineRule="auto"/>
        <w:ind w:firstLineChars="200" w:firstLine="480"/>
        <w:rPr>
          <w:sz w:val="24"/>
        </w:rPr>
      </w:pPr>
      <w:r>
        <w:rPr>
          <w:rFonts w:hint="eastAsia"/>
          <w:sz w:val="24"/>
        </w:rPr>
        <w:t>沙门氏菌</w:t>
      </w:r>
      <w:r w:rsidRPr="00342E60">
        <w:rPr>
          <w:rFonts w:hint="eastAsia"/>
          <w:sz w:val="24"/>
        </w:rPr>
        <w:t>指标按</w:t>
      </w:r>
      <w:r w:rsidRPr="00635202">
        <w:rPr>
          <w:rFonts w:hint="eastAsia"/>
          <w:sz w:val="24"/>
        </w:rPr>
        <w:t>GB</w:t>
      </w:r>
      <w:r w:rsidRPr="00635202">
        <w:rPr>
          <w:sz w:val="24"/>
        </w:rPr>
        <w:t xml:space="preserve"> 4789.</w:t>
      </w:r>
      <w:r>
        <w:rPr>
          <w:rFonts w:hint="eastAsia"/>
          <w:sz w:val="24"/>
        </w:rPr>
        <w:t>4</w:t>
      </w:r>
      <w:r>
        <w:rPr>
          <w:rFonts w:hint="eastAsia"/>
          <w:sz w:val="24"/>
        </w:rPr>
        <w:t>《</w:t>
      </w:r>
      <w:r w:rsidRPr="008D0F37">
        <w:rPr>
          <w:rFonts w:hint="eastAsia"/>
          <w:sz w:val="24"/>
        </w:rPr>
        <w:t>食品安全国家标准</w:t>
      </w:r>
      <w:r>
        <w:rPr>
          <w:rFonts w:hint="eastAsia"/>
          <w:sz w:val="24"/>
        </w:rPr>
        <w:t xml:space="preserve"> </w:t>
      </w:r>
      <w:r w:rsidRPr="008D0F37">
        <w:rPr>
          <w:rFonts w:hint="eastAsia"/>
          <w:sz w:val="24"/>
        </w:rPr>
        <w:t>食品微生物学检验</w:t>
      </w:r>
      <w:r>
        <w:rPr>
          <w:rFonts w:hint="eastAsia"/>
          <w:sz w:val="24"/>
        </w:rPr>
        <w:t xml:space="preserve"> </w:t>
      </w:r>
      <w:r>
        <w:rPr>
          <w:rFonts w:hint="eastAsia"/>
          <w:sz w:val="24"/>
        </w:rPr>
        <w:t>沙门氏菌检验》</w:t>
      </w:r>
      <w:r w:rsidRPr="00342E60">
        <w:rPr>
          <w:rFonts w:hint="eastAsia"/>
          <w:sz w:val="24"/>
        </w:rPr>
        <w:t>规定的</w:t>
      </w:r>
      <w:r>
        <w:rPr>
          <w:rFonts w:hint="eastAsia"/>
          <w:sz w:val="24"/>
        </w:rPr>
        <w:t>方法测定</w:t>
      </w:r>
      <w:r w:rsidRPr="00342E60">
        <w:rPr>
          <w:rFonts w:hint="eastAsia"/>
          <w:sz w:val="24"/>
        </w:rPr>
        <w:t>。</w:t>
      </w:r>
      <w:r>
        <w:rPr>
          <w:rFonts w:hint="eastAsia"/>
          <w:sz w:val="24"/>
        </w:rPr>
        <w:t>该</w:t>
      </w:r>
      <w:r w:rsidRPr="008C56CC">
        <w:rPr>
          <w:rFonts w:hint="eastAsia"/>
          <w:sz w:val="24"/>
        </w:rPr>
        <w:t>标准</w:t>
      </w:r>
      <w:r w:rsidRPr="008D0F37">
        <w:rPr>
          <w:rFonts w:hint="eastAsia"/>
          <w:sz w:val="24"/>
        </w:rPr>
        <w:t>规定了食品中</w:t>
      </w:r>
      <w:r>
        <w:rPr>
          <w:rFonts w:hint="eastAsia"/>
          <w:sz w:val="24"/>
        </w:rPr>
        <w:t>沙门氏菌的检验方法，适用于食品中沙门氏菌的检验。</w:t>
      </w:r>
    </w:p>
    <w:p w14:paraId="251E8199" w14:textId="077C50B1" w:rsidR="00253A4D" w:rsidRDefault="00253A4D" w:rsidP="00253A4D">
      <w:pPr>
        <w:snapToGrid w:val="0"/>
        <w:spacing w:line="360" w:lineRule="auto"/>
        <w:ind w:firstLineChars="200" w:firstLine="480"/>
        <w:rPr>
          <w:sz w:val="24"/>
        </w:rPr>
      </w:pPr>
      <w:r>
        <w:rPr>
          <w:rFonts w:hint="eastAsia"/>
          <w:sz w:val="24"/>
        </w:rPr>
        <w:t>金黄色葡萄球菌</w:t>
      </w:r>
      <w:r w:rsidRPr="00342E60">
        <w:rPr>
          <w:rFonts w:hint="eastAsia"/>
          <w:sz w:val="24"/>
        </w:rPr>
        <w:t>指标按</w:t>
      </w:r>
      <w:r w:rsidRPr="00635202">
        <w:rPr>
          <w:rFonts w:hint="eastAsia"/>
          <w:sz w:val="24"/>
        </w:rPr>
        <w:t>GB</w:t>
      </w:r>
      <w:r w:rsidRPr="00635202">
        <w:rPr>
          <w:sz w:val="24"/>
        </w:rPr>
        <w:t xml:space="preserve"> 4789.</w:t>
      </w:r>
      <w:r>
        <w:rPr>
          <w:rFonts w:hint="eastAsia"/>
          <w:sz w:val="24"/>
        </w:rPr>
        <w:t>10</w:t>
      </w:r>
      <w:r>
        <w:rPr>
          <w:rFonts w:hint="eastAsia"/>
          <w:sz w:val="24"/>
        </w:rPr>
        <w:t>《</w:t>
      </w:r>
      <w:r w:rsidRPr="008D0F37">
        <w:rPr>
          <w:rFonts w:hint="eastAsia"/>
          <w:sz w:val="24"/>
        </w:rPr>
        <w:t>食品安全国家标准</w:t>
      </w:r>
      <w:r>
        <w:rPr>
          <w:rFonts w:hint="eastAsia"/>
          <w:sz w:val="24"/>
        </w:rPr>
        <w:t xml:space="preserve"> </w:t>
      </w:r>
      <w:r w:rsidRPr="008D0F37">
        <w:rPr>
          <w:rFonts w:hint="eastAsia"/>
          <w:sz w:val="24"/>
        </w:rPr>
        <w:t>食品微生物学检验</w:t>
      </w:r>
      <w:r>
        <w:rPr>
          <w:rFonts w:hint="eastAsia"/>
          <w:sz w:val="24"/>
        </w:rPr>
        <w:t xml:space="preserve"> </w:t>
      </w:r>
      <w:r>
        <w:rPr>
          <w:rFonts w:hint="eastAsia"/>
          <w:sz w:val="24"/>
        </w:rPr>
        <w:t>金黄色葡萄球菌检验》</w:t>
      </w:r>
      <w:r w:rsidRPr="00342E60">
        <w:rPr>
          <w:rFonts w:hint="eastAsia"/>
          <w:sz w:val="24"/>
        </w:rPr>
        <w:t>规定的</w:t>
      </w:r>
      <w:r>
        <w:rPr>
          <w:rFonts w:hint="eastAsia"/>
          <w:sz w:val="24"/>
        </w:rPr>
        <w:t>方法测定</w:t>
      </w:r>
      <w:r w:rsidRPr="00342E60">
        <w:rPr>
          <w:rFonts w:hint="eastAsia"/>
          <w:sz w:val="24"/>
        </w:rPr>
        <w:t>。</w:t>
      </w:r>
      <w:r>
        <w:rPr>
          <w:rFonts w:hint="eastAsia"/>
          <w:sz w:val="24"/>
        </w:rPr>
        <w:t>该</w:t>
      </w:r>
      <w:r w:rsidRPr="008C56CC">
        <w:rPr>
          <w:rFonts w:hint="eastAsia"/>
          <w:sz w:val="24"/>
        </w:rPr>
        <w:t>标准</w:t>
      </w:r>
      <w:r w:rsidRPr="008D0F37">
        <w:rPr>
          <w:rFonts w:hint="eastAsia"/>
          <w:sz w:val="24"/>
        </w:rPr>
        <w:t>规定了食品中</w:t>
      </w:r>
      <w:r>
        <w:rPr>
          <w:rFonts w:hint="eastAsia"/>
          <w:sz w:val="24"/>
        </w:rPr>
        <w:t>金黄色葡萄球菌的检验方法，</w:t>
      </w:r>
      <w:r w:rsidRPr="00253A4D">
        <w:rPr>
          <w:rFonts w:hint="eastAsia"/>
          <w:sz w:val="24"/>
        </w:rPr>
        <w:t>第一法金黄色葡萄球菌定性检验适用于食品中金黄色葡萄球菌的定性检验</w:t>
      </w:r>
      <w:r>
        <w:rPr>
          <w:rFonts w:hint="eastAsia"/>
          <w:sz w:val="24"/>
        </w:rPr>
        <w:t>；</w:t>
      </w:r>
      <w:r w:rsidRPr="00253A4D">
        <w:rPr>
          <w:rFonts w:hint="eastAsia"/>
          <w:sz w:val="24"/>
        </w:rPr>
        <w:t>第二法金黄色葡萄球菌平板计数法适用于金黄色葡萄球菌含量较高的食品中金黄色葡萄球菌的计数</w:t>
      </w:r>
      <w:r>
        <w:rPr>
          <w:rFonts w:hint="eastAsia"/>
          <w:sz w:val="24"/>
        </w:rPr>
        <w:t>；</w:t>
      </w:r>
      <w:r w:rsidRPr="00253A4D">
        <w:rPr>
          <w:rFonts w:hint="eastAsia"/>
          <w:sz w:val="24"/>
        </w:rPr>
        <w:t>第三法金黄色葡萄球菌</w:t>
      </w:r>
      <w:r w:rsidRPr="00253A4D">
        <w:rPr>
          <w:rFonts w:hint="eastAsia"/>
          <w:sz w:val="24"/>
        </w:rPr>
        <w:t>MPN</w:t>
      </w:r>
      <w:r w:rsidRPr="00253A4D">
        <w:rPr>
          <w:rFonts w:hint="eastAsia"/>
          <w:sz w:val="24"/>
        </w:rPr>
        <w:t>计数适用于金黄色葡萄球菌含量较低的食品中金黄色葡萄球菌的计数</w:t>
      </w:r>
      <w:r>
        <w:rPr>
          <w:rFonts w:hint="eastAsia"/>
          <w:sz w:val="24"/>
        </w:rPr>
        <w:t>。</w:t>
      </w:r>
    </w:p>
    <w:p w14:paraId="2F33BE21" w14:textId="3F1FEC15" w:rsidR="00342E60" w:rsidRPr="00212A0A" w:rsidRDefault="00F90358" w:rsidP="00D31CF6">
      <w:pPr>
        <w:snapToGrid w:val="0"/>
        <w:spacing w:line="360" w:lineRule="auto"/>
        <w:ind w:firstLineChars="200" w:firstLine="480"/>
      </w:pPr>
      <w:r w:rsidRPr="00F90358">
        <w:rPr>
          <w:rFonts w:hint="eastAsia"/>
          <w:sz w:val="24"/>
        </w:rPr>
        <w:t>污染物与净含量的试验方法前往文中已有说明，在此不做赘述。</w:t>
      </w:r>
    </w:p>
    <w:p w14:paraId="61DDD7B6" w14:textId="7804EE01" w:rsidR="000D2117" w:rsidRPr="000D2117" w:rsidRDefault="000D2117" w:rsidP="000D2117">
      <w:pPr>
        <w:pStyle w:val="3"/>
      </w:pPr>
      <w:bookmarkStart w:id="47" w:name="_Toc176255796"/>
      <w:r w:rsidRPr="000D2117">
        <w:t>2.</w:t>
      </w:r>
      <w:r w:rsidR="00143E77">
        <w:rPr>
          <w:rFonts w:hint="eastAsia"/>
        </w:rPr>
        <w:t>6</w:t>
      </w:r>
      <w:r w:rsidRPr="000D2117">
        <w:t xml:space="preserve">  “</w:t>
      </w:r>
      <w:r w:rsidR="00D31CF6">
        <w:rPr>
          <w:rFonts w:hint="eastAsia"/>
        </w:rPr>
        <w:t xml:space="preserve">7 </w:t>
      </w:r>
      <w:r w:rsidR="00D31CF6">
        <w:rPr>
          <w:rFonts w:hint="eastAsia"/>
        </w:rPr>
        <w:t>检验规则</w:t>
      </w:r>
      <w:r w:rsidRPr="000D2117">
        <w:t>”</w:t>
      </w:r>
      <w:bookmarkEnd w:id="47"/>
    </w:p>
    <w:p w14:paraId="4D65360F" w14:textId="77777777" w:rsidR="002821F6" w:rsidRDefault="007C4FD6" w:rsidP="00656F3A">
      <w:pPr>
        <w:snapToGrid w:val="0"/>
        <w:spacing w:line="360" w:lineRule="auto"/>
        <w:ind w:firstLineChars="200" w:firstLine="480"/>
        <w:rPr>
          <w:sz w:val="24"/>
        </w:rPr>
      </w:pPr>
      <w:r>
        <w:rPr>
          <w:rFonts w:hint="eastAsia"/>
          <w:sz w:val="24"/>
        </w:rPr>
        <w:t>本章节内容</w:t>
      </w:r>
      <w:r w:rsidR="002821F6">
        <w:rPr>
          <w:rFonts w:hint="eastAsia"/>
          <w:sz w:val="24"/>
        </w:rPr>
        <w:t>主要根据</w:t>
      </w:r>
      <w:r w:rsidR="002821F6">
        <w:rPr>
          <w:rFonts w:hint="eastAsia"/>
          <w:sz w:val="24"/>
        </w:rPr>
        <w:t>GB/T 20001.10</w:t>
      </w:r>
      <w:r w:rsidR="002821F6">
        <w:rPr>
          <w:rFonts w:hint="eastAsia"/>
          <w:sz w:val="24"/>
        </w:rPr>
        <w:t>《标准编写规则</w:t>
      </w:r>
      <w:r w:rsidR="002821F6">
        <w:rPr>
          <w:rFonts w:hint="eastAsia"/>
          <w:sz w:val="24"/>
        </w:rPr>
        <w:t xml:space="preserve"> </w:t>
      </w:r>
      <w:r w:rsidR="002821F6">
        <w:rPr>
          <w:rFonts w:hint="eastAsia"/>
          <w:sz w:val="24"/>
        </w:rPr>
        <w:t>第</w:t>
      </w:r>
      <w:r w:rsidR="002821F6">
        <w:rPr>
          <w:rFonts w:hint="eastAsia"/>
          <w:sz w:val="24"/>
        </w:rPr>
        <w:t>10</w:t>
      </w:r>
      <w:r w:rsidR="002821F6">
        <w:rPr>
          <w:rFonts w:hint="eastAsia"/>
          <w:sz w:val="24"/>
        </w:rPr>
        <w:t>部分：产品标准》</w:t>
      </w:r>
      <w:r w:rsidR="000D652F" w:rsidRPr="000D652F">
        <w:rPr>
          <w:rFonts w:hint="eastAsia"/>
          <w:sz w:val="24"/>
        </w:rPr>
        <w:t>。</w:t>
      </w:r>
      <w:r w:rsidR="002821F6">
        <w:rPr>
          <w:rFonts w:hint="eastAsia"/>
          <w:sz w:val="24"/>
        </w:rPr>
        <w:t>该标准规定了产品标准中检验规则为可选要素，针对产品的一个或多个特性，给出测量、检查、验证产品符合技术要求所遵循的规则、程序或方法等内容。同时参考了</w:t>
      </w:r>
      <w:r w:rsidR="002821F6" w:rsidRPr="00AA324A">
        <w:rPr>
          <w:rFonts w:hint="eastAsia"/>
          <w:sz w:val="24"/>
        </w:rPr>
        <w:t>QB2732</w:t>
      </w:r>
      <w:r w:rsidR="002821F6" w:rsidRPr="00AA324A">
        <w:rPr>
          <w:rFonts w:hint="eastAsia"/>
          <w:sz w:val="24"/>
        </w:rPr>
        <w:t>《水解胶原蛋白》</w:t>
      </w:r>
      <w:r w:rsidR="002821F6">
        <w:rPr>
          <w:rFonts w:hint="eastAsia"/>
          <w:sz w:val="24"/>
        </w:rPr>
        <w:t>中检验规则的有关内容，同时经专家讨论后形成此章节。由于本章节内容为产品标准中常见的典型的技术要素，不做展开说明。</w:t>
      </w:r>
    </w:p>
    <w:p w14:paraId="0BB01599" w14:textId="2974DB2A" w:rsidR="000D652F" w:rsidRDefault="002821F6" w:rsidP="00656F3A">
      <w:pPr>
        <w:snapToGrid w:val="0"/>
        <w:spacing w:line="360" w:lineRule="auto"/>
        <w:ind w:firstLineChars="200" w:firstLine="480"/>
        <w:rPr>
          <w:sz w:val="24"/>
        </w:rPr>
      </w:pPr>
      <w:r>
        <w:rPr>
          <w:rFonts w:hint="eastAsia"/>
          <w:sz w:val="24"/>
        </w:rPr>
        <w:lastRenderedPageBreak/>
        <w:t>出场检验</w:t>
      </w:r>
      <w:r w:rsidR="00F77593">
        <w:rPr>
          <w:rFonts w:hint="eastAsia"/>
          <w:sz w:val="24"/>
        </w:rPr>
        <w:t>一节中</w:t>
      </w:r>
      <w:r>
        <w:rPr>
          <w:rFonts w:hint="eastAsia"/>
          <w:sz w:val="24"/>
        </w:rPr>
        <w:t>规定了出场检验项目为</w:t>
      </w:r>
      <w:r w:rsidRPr="002821F6">
        <w:rPr>
          <w:rFonts w:hint="eastAsia"/>
          <w:sz w:val="24"/>
        </w:rPr>
        <w:t>感官要求、蛋白质、水分、菌落总数、大肠杆菌</w:t>
      </w:r>
      <w:r>
        <w:rPr>
          <w:rFonts w:hint="eastAsia"/>
          <w:sz w:val="24"/>
        </w:rPr>
        <w:t>，</w:t>
      </w:r>
      <w:r w:rsidRPr="002821F6">
        <w:rPr>
          <w:rFonts w:hint="eastAsia"/>
          <w:sz w:val="24"/>
        </w:rPr>
        <w:t>应逐批检验，并出具检验报告。检验合格，方可出厂。</w:t>
      </w:r>
    </w:p>
    <w:p w14:paraId="55775257" w14:textId="72BC062C" w:rsidR="002821F6" w:rsidRPr="00F77593" w:rsidRDefault="002821F6" w:rsidP="00F77593">
      <w:pPr>
        <w:snapToGrid w:val="0"/>
        <w:spacing w:line="360" w:lineRule="auto"/>
        <w:ind w:firstLineChars="200" w:firstLine="480"/>
        <w:rPr>
          <w:sz w:val="24"/>
        </w:rPr>
      </w:pPr>
      <w:r w:rsidRPr="00F77593">
        <w:rPr>
          <w:rFonts w:hint="eastAsia"/>
          <w:sz w:val="24"/>
        </w:rPr>
        <w:t>型式检验</w:t>
      </w:r>
      <w:r w:rsidR="00F77593" w:rsidRPr="00F77593">
        <w:rPr>
          <w:rFonts w:hint="eastAsia"/>
          <w:sz w:val="24"/>
        </w:rPr>
        <w:t>一节中</w:t>
      </w:r>
      <w:r w:rsidRPr="00F77593">
        <w:rPr>
          <w:rFonts w:hint="eastAsia"/>
          <w:sz w:val="24"/>
        </w:rPr>
        <w:t>需检测本文件中</w:t>
      </w:r>
      <w:r w:rsidRPr="00F77593">
        <w:rPr>
          <w:rFonts w:hint="eastAsia"/>
          <w:sz w:val="24"/>
        </w:rPr>
        <w:t>4.2</w:t>
      </w:r>
      <w:r w:rsidRPr="00F77593">
        <w:rPr>
          <w:rFonts w:hint="eastAsia"/>
          <w:sz w:val="24"/>
        </w:rPr>
        <w:t>、</w:t>
      </w:r>
      <w:r w:rsidRPr="00F77593">
        <w:rPr>
          <w:rFonts w:hint="eastAsia"/>
          <w:sz w:val="24"/>
        </w:rPr>
        <w:t>4.3</w:t>
      </w:r>
      <w:r w:rsidRPr="00F77593">
        <w:rPr>
          <w:rFonts w:hint="eastAsia"/>
          <w:sz w:val="24"/>
        </w:rPr>
        <w:t>、</w:t>
      </w:r>
      <w:r w:rsidRPr="00F77593">
        <w:rPr>
          <w:rFonts w:hint="eastAsia"/>
          <w:sz w:val="24"/>
        </w:rPr>
        <w:t xml:space="preserve">4.4 </w:t>
      </w:r>
      <w:r w:rsidRPr="00F77593">
        <w:rPr>
          <w:rFonts w:hint="eastAsia"/>
          <w:sz w:val="24"/>
        </w:rPr>
        <w:t>规定的全部项目，并对需要进行型式检验的情形进行了罗列。</w:t>
      </w:r>
    </w:p>
    <w:p w14:paraId="5E45D00C" w14:textId="1A4D5084" w:rsidR="002821F6" w:rsidRPr="000F4C56" w:rsidRDefault="00F77593" w:rsidP="000F4C56">
      <w:pPr>
        <w:snapToGrid w:val="0"/>
        <w:spacing w:line="360" w:lineRule="auto"/>
        <w:ind w:firstLineChars="200" w:firstLine="480"/>
        <w:rPr>
          <w:sz w:val="24"/>
        </w:rPr>
      </w:pPr>
      <w:r w:rsidRPr="00F77593">
        <w:rPr>
          <w:rFonts w:hint="eastAsia"/>
          <w:sz w:val="24"/>
        </w:rPr>
        <w:t>抽样一节中规定了抽样的数量和方法，要求较明确，使用者可</w:t>
      </w:r>
      <w:r>
        <w:rPr>
          <w:rFonts w:hint="eastAsia"/>
          <w:sz w:val="24"/>
        </w:rPr>
        <w:t>对照</w:t>
      </w:r>
      <w:r w:rsidRPr="00F77593">
        <w:rPr>
          <w:rFonts w:hint="eastAsia"/>
          <w:sz w:val="24"/>
        </w:rPr>
        <w:t>参考使用。</w:t>
      </w:r>
    </w:p>
    <w:p w14:paraId="5667B872" w14:textId="6E3F2F6E" w:rsidR="000D2117" w:rsidRPr="000D2117" w:rsidRDefault="000D2117" w:rsidP="000D2117">
      <w:pPr>
        <w:pStyle w:val="3"/>
      </w:pPr>
      <w:bookmarkStart w:id="48" w:name="_Toc176255797"/>
      <w:r w:rsidRPr="000D2117">
        <w:t>2.</w:t>
      </w:r>
      <w:r w:rsidR="00D33618">
        <w:rPr>
          <w:rFonts w:hint="eastAsia"/>
        </w:rPr>
        <w:t>7</w:t>
      </w:r>
      <w:r w:rsidRPr="000D2117">
        <w:t xml:space="preserve">  “</w:t>
      </w:r>
      <w:r w:rsidR="000F4C56">
        <w:rPr>
          <w:rFonts w:hint="eastAsia"/>
        </w:rPr>
        <w:t>8</w:t>
      </w:r>
      <w:r w:rsidRPr="000D2117">
        <w:t xml:space="preserve"> </w:t>
      </w:r>
      <w:r w:rsidR="000F4C56">
        <w:rPr>
          <w:rFonts w:hint="eastAsia"/>
        </w:rPr>
        <w:t>判定规则</w:t>
      </w:r>
      <w:r w:rsidRPr="000D2117">
        <w:t>”</w:t>
      </w:r>
      <w:bookmarkEnd w:id="48"/>
    </w:p>
    <w:p w14:paraId="6B966303" w14:textId="19773831" w:rsidR="00E22359" w:rsidRDefault="005E4831" w:rsidP="00E22359">
      <w:pPr>
        <w:snapToGrid w:val="0"/>
        <w:spacing w:line="360" w:lineRule="auto"/>
        <w:ind w:firstLineChars="200" w:firstLine="480"/>
        <w:rPr>
          <w:sz w:val="24"/>
        </w:rPr>
      </w:pPr>
      <w:r>
        <w:rPr>
          <w:rFonts w:hint="eastAsia"/>
          <w:sz w:val="24"/>
        </w:rPr>
        <w:t>本章节内容主要根据</w:t>
      </w:r>
      <w:r>
        <w:rPr>
          <w:rFonts w:hint="eastAsia"/>
          <w:sz w:val="24"/>
        </w:rPr>
        <w:t>GB/T 20001.10</w:t>
      </w:r>
      <w:r>
        <w:rPr>
          <w:rFonts w:hint="eastAsia"/>
          <w:sz w:val="24"/>
        </w:rPr>
        <w:t>《标准编写规则</w:t>
      </w:r>
      <w:r>
        <w:rPr>
          <w:rFonts w:hint="eastAsia"/>
          <w:sz w:val="24"/>
        </w:rPr>
        <w:t xml:space="preserve"> </w:t>
      </w:r>
      <w:r>
        <w:rPr>
          <w:rFonts w:hint="eastAsia"/>
          <w:sz w:val="24"/>
        </w:rPr>
        <w:t>第</w:t>
      </w:r>
      <w:r>
        <w:rPr>
          <w:rFonts w:hint="eastAsia"/>
          <w:sz w:val="24"/>
        </w:rPr>
        <w:t>10</w:t>
      </w:r>
      <w:r>
        <w:rPr>
          <w:rFonts w:hint="eastAsia"/>
          <w:sz w:val="24"/>
        </w:rPr>
        <w:t>部分：产品标准》，要求每一类检验都需要有判定规则，即判定为产品合格或不合格的条件，形成“判定规则”的内容。</w:t>
      </w:r>
      <w:r w:rsidR="000F4C56">
        <w:rPr>
          <w:rFonts w:hint="eastAsia"/>
          <w:sz w:val="24"/>
        </w:rPr>
        <w:t>本章主要针对“</w:t>
      </w:r>
      <w:r w:rsidR="000F4C56">
        <w:rPr>
          <w:rFonts w:hint="eastAsia"/>
          <w:sz w:val="24"/>
        </w:rPr>
        <w:t xml:space="preserve">7 </w:t>
      </w:r>
      <w:r w:rsidR="000F4C56">
        <w:rPr>
          <w:rFonts w:hint="eastAsia"/>
          <w:sz w:val="24"/>
        </w:rPr>
        <w:t>检验规则”，分别罗列了出厂检验和型式检验后相应的判定规则</w:t>
      </w:r>
      <w:r w:rsidR="00E22359" w:rsidRPr="00E22359">
        <w:rPr>
          <w:rFonts w:hint="eastAsia"/>
          <w:sz w:val="24"/>
        </w:rPr>
        <w:t>。</w:t>
      </w:r>
      <w:r w:rsidR="000F4C56">
        <w:rPr>
          <w:rFonts w:hint="eastAsia"/>
          <w:sz w:val="24"/>
        </w:rPr>
        <w:t>同样属于产品标准中常见的典型的技术要素，不做展开说明。</w:t>
      </w:r>
    </w:p>
    <w:p w14:paraId="1105BB90" w14:textId="49B45F95" w:rsidR="000F4C56" w:rsidRPr="000F4C56" w:rsidRDefault="000F4C56" w:rsidP="000F4C56">
      <w:pPr>
        <w:snapToGrid w:val="0"/>
        <w:spacing w:line="360" w:lineRule="auto"/>
        <w:ind w:firstLineChars="200" w:firstLine="480"/>
        <w:rPr>
          <w:sz w:val="24"/>
        </w:rPr>
      </w:pPr>
      <w:r w:rsidRPr="000F4C56">
        <w:rPr>
          <w:rFonts w:hint="eastAsia"/>
          <w:sz w:val="24"/>
        </w:rPr>
        <w:t>无论是出厂检验还是型式检验，当检测项目全部符合要求时则判为合格品，当微生物指标不符合要求或发现杂质，不得复检，判为不合格品。而除微生物指标外，其他指标不符合要求的，可以进行复检，相应的抽样与附件规则均有详细说明。</w:t>
      </w:r>
    </w:p>
    <w:p w14:paraId="2CF13998" w14:textId="2567EC85" w:rsidR="00847FE7" w:rsidRPr="000D2117" w:rsidRDefault="00847FE7" w:rsidP="00847FE7">
      <w:pPr>
        <w:pStyle w:val="3"/>
      </w:pPr>
      <w:bookmarkStart w:id="49" w:name="_Toc176255798"/>
      <w:r w:rsidRPr="000D2117">
        <w:t>2.</w:t>
      </w:r>
      <w:r w:rsidR="00A02D25">
        <w:rPr>
          <w:rFonts w:hint="eastAsia"/>
        </w:rPr>
        <w:t>8</w:t>
      </w:r>
      <w:r w:rsidRPr="000D2117">
        <w:t xml:space="preserve">  “</w:t>
      </w:r>
      <w:r w:rsidR="00FF0A57">
        <w:rPr>
          <w:rFonts w:hint="eastAsia"/>
        </w:rPr>
        <w:t>9</w:t>
      </w:r>
      <w:r w:rsidRPr="000D2117">
        <w:t xml:space="preserve"> </w:t>
      </w:r>
      <w:r w:rsidR="00FF0A57" w:rsidRPr="00FF0A57">
        <w:rPr>
          <w:rFonts w:hint="eastAsia"/>
        </w:rPr>
        <w:t>9</w:t>
      </w:r>
      <w:r w:rsidR="00FF0A57" w:rsidRPr="00FF0A57">
        <w:rPr>
          <w:rFonts w:hint="eastAsia"/>
        </w:rPr>
        <w:t xml:space="preserve">　标志、标签、包装、运输和贮存</w:t>
      </w:r>
      <w:r w:rsidRPr="000D2117">
        <w:t>”</w:t>
      </w:r>
      <w:bookmarkEnd w:id="49"/>
    </w:p>
    <w:p w14:paraId="1D65D524" w14:textId="011AC199" w:rsidR="000D2117" w:rsidRDefault="005E4831" w:rsidP="00E22359">
      <w:pPr>
        <w:snapToGrid w:val="0"/>
        <w:spacing w:line="360" w:lineRule="auto"/>
        <w:ind w:firstLineChars="200" w:firstLine="480"/>
        <w:rPr>
          <w:sz w:val="24"/>
        </w:rPr>
      </w:pPr>
      <w:r>
        <w:rPr>
          <w:rFonts w:hint="eastAsia"/>
          <w:sz w:val="24"/>
        </w:rPr>
        <w:t>本章节内容主要根据</w:t>
      </w:r>
      <w:r>
        <w:rPr>
          <w:rFonts w:hint="eastAsia"/>
          <w:sz w:val="24"/>
        </w:rPr>
        <w:t>GB/T 20001.10</w:t>
      </w:r>
      <w:r>
        <w:rPr>
          <w:rFonts w:hint="eastAsia"/>
          <w:sz w:val="24"/>
        </w:rPr>
        <w:t>《标准编写规则</w:t>
      </w:r>
      <w:r>
        <w:rPr>
          <w:rFonts w:hint="eastAsia"/>
          <w:sz w:val="24"/>
        </w:rPr>
        <w:t xml:space="preserve"> </w:t>
      </w:r>
      <w:r>
        <w:rPr>
          <w:rFonts w:hint="eastAsia"/>
          <w:sz w:val="24"/>
        </w:rPr>
        <w:t>第</w:t>
      </w:r>
      <w:r>
        <w:rPr>
          <w:rFonts w:hint="eastAsia"/>
          <w:sz w:val="24"/>
        </w:rPr>
        <w:t>10</w:t>
      </w:r>
      <w:r>
        <w:rPr>
          <w:rFonts w:hint="eastAsia"/>
          <w:sz w:val="24"/>
        </w:rPr>
        <w:t>部分：产品标准》</w:t>
      </w:r>
      <w:r w:rsidR="00D7756B">
        <w:rPr>
          <w:rFonts w:hint="eastAsia"/>
          <w:sz w:val="24"/>
        </w:rPr>
        <w:t>，其</w:t>
      </w:r>
      <w:r>
        <w:rPr>
          <w:rFonts w:hint="eastAsia"/>
          <w:sz w:val="24"/>
        </w:rPr>
        <w:t>规定了产品标准中标志、标签、随行文件为可选要素，可作为相互补充的内容，只要有关应纳入标准，特别是涉及消费品的产品标准，如有需要，标记的方法也应做出规定或建议</w:t>
      </w:r>
      <w:r w:rsidR="000D2117" w:rsidRPr="000D2117">
        <w:rPr>
          <w:rFonts w:hint="eastAsia"/>
          <w:sz w:val="24"/>
        </w:rPr>
        <w:t>。</w:t>
      </w:r>
      <w:r w:rsidR="000773A7">
        <w:rPr>
          <w:rFonts w:hint="eastAsia"/>
          <w:sz w:val="24"/>
        </w:rPr>
        <w:t>本文件规定</w:t>
      </w:r>
      <w:r w:rsidR="000773A7" w:rsidRPr="000773A7">
        <w:rPr>
          <w:rFonts w:hint="eastAsia"/>
          <w:sz w:val="24"/>
        </w:rPr>
        <w:t>产品标签应符合</w:t>
      </w:r>
      <w:r w:rsidR="000773A7" w:rsidRPr="000773A7">
        <w:rPr>
          <w:rFonts w:hint="eastAsia"/>
          <w:sz w:val="24"/>
        </w:rPr>
        <w:t>GB 7718</w:t>
      </w:r>
      <w:r w:rsidR="000773A7">
        <w:rPr>
          <w:rFonts w:hint="eastAsia"/>
          <w:sz w:val="24"/>
        </w:rPr>
        <w:t>《食品安全国家标准</w:t>
      </w:r>
      <w:r w:rsidR="000773A7">
        <w:rPr>
          <w:rFonts w:hint="eastAsia"/>
          <w:sz w:val="24"/>
        </w:rPr>
        <w:t xml:space="preserve"> </w:t>
      </w:r>
      <w:r w:rsidR="000773A7">
        <w:rPr>
          <w:rFonts w:hint="eastAsia"/>
          <w:sz w:val="24"/>
        </w:rPr>
        <w:t>预包装食品标签通则》的要求，该标准适</w:t>
      </w:r>
      <w:r w:rsidR="000773A7" w:rsidRPr="000773A7">
        <w:rPr>
          <w:sz w:val="24"/>
        </w:rPr>
        <w:t>用于直接提供给消费者的预包装食品标签和非直接提供给消费者的预包装食品</w:t>
      </w:r>
      <w:r w:rsidR="000773A7">
        <w:rPr>
          <w:rFonts w:hint="eastAsia"/>
          <w:sz w:val="24"/>
        </w:rPr>
        <w:t>标签；同时应符合</w:t>
      </w:r>
      <w:r w:rsidR="000773A7" w:rsidRPr="000773A7">
        <w:rPr>
          <w:rFonts w:hint="eastAsia"/>
          <w:sz w:val="24"/>
        </w:rPr>
        <w:t>GB 28050</w:t>
      </w:r>
      <w:r w:rsidR="000773A7">
        <w:rPr>
          <w:rFonts w:hint="eastAsia"/>
          <w:sz w:val="24"/>
        </w:rPr>
        <w:t>《食品安全国家标准</w:t>
      </w:r>
      <w:r w:rsidR="000773A7">
        <w:rPr>
          <w:rFonts w:hint="eastAsia"/>
          <w:sz w:val="24"/>
        </w:rPr>
        <w:t xml:space="preserve"> </w:t>
      </w:r>
      <w:r w:rsidR="000773A7">
        <w:rPr>
          <w:rFonts w:hint="eastAsia"/>
          <w:sz w:val="24"/>
        </w:rPr>
        <w:t>预包装食品营养标签通则》</w:t>
      </w:r>
      <w:r w:rsidR="000773A7" w:rsidRPr="000773A7">
        <w:rPr>
          <w:rFonts w:hint="eastAsia"/>
          <w:sz w:val="24"/>
        </w:rPr>
        <w:t>的规定，</w:t>
      </w:r>
      <w:r w:rsidR="000773A7">
        <w:rPr>
          <w:rFonts w:hint="eastAsia"/>
          <w:sz w:val="24"/>
        </w:rPr>
        <w:t>该标准</w:t>
      </w:r>
      <w:r w:rsidR="000773A7" w:rsidRPr="000773A7">
        <w:rPr>
          <w:rFonts w:hint="eastAsia"/>
          <w:sz w:val="24"/>
        </w:rPr>
        <w:t>适用于预包装食品营养标签上营养信息的描述和说明</w:t>
      </w:r>
      <w:r w:rsidR="000773A7">
        <w:rPr>
          <w:rFonts w:hint="eastAsia"/>
          <w:sz w:val="24"/>
        </w:rPr>
        <w:t>。本文件规定</w:t>
      </w:r>
      <w:r w:rsidR="000773A7" w:rsidRPr="000773A7">
        <w:rPr>
          <w:rFonts w:hint="eastAsia"/>
          <w:sz w:val="24"/>
        </w:rPr>
        <w:t>外包装标志应符合</w:t>
      </w:r>
      <w:r w:rsidR="000773A7" w:rsidRPr="000773A7">
        <w:rPr>
          <w:rFonts w:hint="eastAsia"/>
          <w:sz w:val="24"/>
        </w:rPr>
        <w:t>GB/T 191</w:t>
      </w:r>
      <w:r w:rsidR="000773A7">
        <w:rPr>
          <w:rFonts w:hint="eastAsia"/>
          <w:sz w:val="24"/>
        </w:rPr>
        <w:t>《包装贮运图示标志》的</w:t>
      </w:r>
      <w:r w:rsidR="000773A7" w:rsidRPr="000773A7">
        <w:rPr>
          <w:rFonts w:hint="eastAsia"/>
          <w:sz w:val="24"/>
        </w:rPr>
        <w:t>规定</w:t>
      </w:r>
      <w:r w:rsidR="000773A7">
        <w:rPr>
          <w:rFonts w:hint="eastAsia"/>
          <w:sz w:val="24"/>
        </w:rPr>
        <w:t>。</w:t>
      </w:r>
    </w:p>
    <w:p w14:paraId="639A8786" w14:textId="4AE3151E" w:rsidR="005E4831" w:rsidRPr="000773A7" w:rsidRDefault="00D7756B" w:rsidP="000773A7">
      <w:pPr>
        <w:snapToGrid w:val="0"/>
        <w:spacing w:line="360" w:lineRule="auto"/>
        <w:ind w:firstLineChars="200" w:firstLine="480"/>
        <w:rPr>
          <w:sz w:val="24"/>
        </w:rPr>
      </w:pPr>
      <w:r>
        <w:rPr>
          <w:rFonts w:hint="eastAsia"/>
          <w:sz w:val="24"/>
        </w:rPr>
        <w:t>GB/T 20001.10</w:t>
      </w:r>
      <w:r>
        <w:rPr>
          <w:rFonts w:hint="eastAsia"/>
          <w:sz w:val="24"/>
        </w:rPr>
        <w:t>《标准编写规则</w:t>
      </w:r>
      <w:r>
        <w:rPr>
          <w:rFonts w:hint="eastAsia"/>
          <w:sz w:val="24"/>
        </w:rPr>
        <w:t xml:space="preserve"> </w:t>
      </w:r>
      <w:r>
        <w:rPr>
          <w:rFonts w:hint="eastAsia"/>
          <w:sz w:val="24"/>
        </w:rPr>
        <w:t>第</w:t>
      </w:r>
      <w:r>
        <w:rPr>
          <w:rFonts w:hint="eastAsia"/>
          <w:sz w:val="24"/>
        </w:rPr>
        <w:t>10</w:t>
      </w:r>
      <w:r>
        <w:rPr>
          <w:rFonts w:hint="eastAsia"/>
          <w:sz w:val="24"/>
        </w:rPr>
        <w:t>部分：产品标准》</w:t>
      </w:r>
      <w:r w:rsidR="005E4831" w:rsidRPr="000773A7">
        <w:rPr>
          <w:rFonts w:hint="eastAsia"/>
          <w:sz w:val="24"/>
        </w:rPr>
        <w:t>同时规定了产品标准中包装、运输和贮存为可选要素，需要时可规定产品的包装、运输和贮存条件等方面的技术要求，这样既可以防止因包装、运输和贮存不当引起危险、毒害或污染环境，又可以保护产品。运输要求的基本内容应包括运输方式</w:t>
      </w:r>
      <w:r w:rsidR="00A03D1B" w:rsidRPr="000773A7">
        <w:rPr>
          <w:rFonts w:hint="eastAsia"/>
          <w:sz w:val="24"/>
        </w:rPr>
        <w:t>（指明</w:t>
      </w:r>
      <w:r w:rsidR="00A03D1B" w:rsidRPr="000773A7">
        <w:rPr>
          <w:rFonts w:hint="eastAsia"/>
          <w:sz w:val="24"/>
        </w:rPr>
        <w:lastRenderedPageBreak/>
        <w:t>运输工具）</w:t>
      </w:r>
      <w:r w:rsidR="005E4831" w:rsidRPr="000773A7">
        <w:rPr>
          <w:rFonts w:hint="eastAsia"/>
          <w:sz w:val="24"/>
        </w:rPr>
        <w:t>、运输条件</w:t>
      </w:r>
      <w:r w:rsidR="00A03D1B" w:rsidRPr="000773A7">
        <w:rPr>
          <w:rFonts w:hint="eastAsia"/>
          <w:sz w:val="24"/>
        </w:rPr>
        <w:t>（指明运输时的要求，如遮蓬、密封、保温等）</w:t>
      </w:r>
      <w:r w:rsidR="005E4831" w:rsidRPr="000773A7">
        <w:rPr>
          <w:rFonts w:hint="eastAsia"/>
          <w:sz w:val="24"/>
        </w:rPr>
        <w:t>和运输中的注意事项</w:t>
      </w:r>
      <w:r w:rsidR="00A03D1B" w:rsidRPr="000773A7">
        <w:rPr>
          <w:rFonts w:hint="eastAsia"/>
          <w:sz w:val="24"/>
        </w:rPr>
        <w:t>（指明装卸运方面的特殊要求，以及运输危险物品的防护条件等）</w:t>
      </w:r>
      <w:r w:rsidR="0014590C" w:rsidRPr="000773A7">
        <w:rPr>
          <w:rFonts w:hint="eastAsia"/>
          <w:sz w:val="24"/>
        </w:rPr>
        <w:t>。贮存要求的基本内容包括贮存场所（指明库存、露天、遮蓬等）、贮存条件（指明温度、湿度、通风、有害条件的影响等）、贮存方式（指明单放、码放等）、贮存期限（指明规定的贮存期限，贮存期内定期维护的要求，以及贮存期内的抽检要求）。</w:t>
      </w:r>
      <w:r w:rsidR="000773A7" w:rsidRPr="000773A7">
        <w:rPr>
          <w:rFonts w:hint="eastAsia"/>
          <w:sz w:val="24"/>
        </w:rPr>
        <w:t>本文件中相关内容是根据生产实践经验，总结归纳，并经专家反复讨论后确定的。特别需要注意的是，在符合本标准规定的贮存条件下，本产品保质期为</w:t>
      </w:r>
      <w:r w:rsidR="000773A7" w:rsidRPr="000773A7">
        <w:rPr>
          <w:rFonts w:hint="eastAsia"/>
          <w:sz w:val="24"/>
        </w:rPr>
        <w:t>36</w:t>
      </w:r>
      <w:r w:rsidR="000773A7" w:rsidRPr="000773A7">
        <w:rPr>
          <w:rFonts w:hint="eastAsia"/>
          <w:sz w:val="24"/>
        </w:rPr>
        <w:t>个月。</w:t>
      </w:r>
    </w:p>
    <w:p w14:paraId="023C6FE0" w14:textId="4A92AA0E" w:rsidR="009539A8" w:rsidRPr="000D2117" w:rsidRDefault="009539A8" w:rsidP="009539A8">
      <w:pPr>
        <w:pStyle w:val="3"/>
      </w:pPr>
      <w:bookmarkStart w:id="50" w:name="_Toc176255799"/>
      <w:r w:rsidRPr="000D2117">
        <w:t>2.</w:t>
      </w:r>
      <w:r w:rsidR="00E1080F">
        <w:rPr>
          <w:rFonts w:hint="eastAsia"/>
        </w:rPr>
        <w:t>9</w:t>
      </w:r>
      <w:r w:rsidRPr="000D2117">
        <w:t xml:space="preserve">  “</w:t>
      </w:r>
      <w:r w:rsidR="00E1080F">
        <w:rPr>
          <w:rFonts w:hint="eastAsia"/>
        </w:rPr>
        <w:t>附录</w:t>
      </w:r>
      <w:r w:rsidR="001A5BBE">
        <w:rPr>
          <w:rFonts w:hint="eastAsia"/>
        </w:rPr>
        <w:t>A</w:t>
      </w:r>
      <w:r w:rsidRPr="000D2117">
        <w:t>”</w:t>
      </w:r>
      <w:bookmarkEnd w:id="50"/>
    </w:p>
    <w:p w14:paraId="07167B84" w14:textId="14D61E7F" w:rsidR="006F6FD9" w:rsidRDefault="006F6FD9" w:rsidP="00D12EBA">
      <w:pPr>
        <w:snapToGrid w:val="0"/>
        <w:spacing w:line="360" w:lineRule="auto"/>
        <w:ind w:firstLineChars="200" w:firstLine="480"/>
        <w:rPr>
          <w:sz w:val="24"/>
        </w:rPr>
      </w:pPr>
      <w:r>
        <w:rPr>
          <w:rFonts w:hint="eastAsia"/>
          <w:sz w:val="24"/>
        </w:rPr>
        <w:t>目前暂无相关</w:t>
      </w:r>
      <w:r w:rsidRPr="006F6FD9">
        <w:rPr>
          <w:rFonts w:hint="eastAsia"/>
          <w:sz w:val="24"/>
        </w:rPr>
        <w:t>非变性Ⅱ型胶原蛋白含量</w:t>
      </w:r>
      <w:r>
        <w:rPr>
          <w:rFonts w:hint="eastAsia"/>
          <w:sz w:val="24"/>
        </w:rPr>
        <w:t>检测方法的国家标准与行业标准</w:t>
      </w:r>
      <w:r w:rsidR="00D12EBA" w:rsidRPr="00D12EBA">
        <w:rPr>
          <w:rFonts w:hint="eastAsia"/>
          <w:sz w:val="24"/>
        </w:rPr>
        <w:t>。</w:t>
      </w:r>
      <w:r>
        <w:rPr>
          <w:rFonts w:hint="eastAsia"/>
          <w:sz w:val="24"/>
        </w:rPr>
        <w:t>为了建立理化指标</w:t>
      </w:r>
      <w:r w:rsidRPr="006F6FD9">
        <w:rPr>
          <w:rFonts w:hint="eastAsia"/>
          <w:sz w:val="24"/>
        </w:rPr>
        <w:t>非变性Ⅱ型胶原蛋白</w:t>
      </w:r>
      <w:r>
        <w:rPr>
          <w:rFonts w:hint="eastAsia"/>
          <w:sz w:val="24"/>
        </w:rPr>
        <w:t>含量对应的检测方法，起草工作组进行了相关检测方法的方法学研究与验证。</w:t>
      </w:r>
    </w:p>
    <w:p w14:paraId="285DCF79" w14:textId="0493D98D" w:rsidR="006F6FD9" w:rsidRDefault="006F6FD9" w:rsidP="00D12EBA">
      <w:pPr>
        <w:snapToGrid w:val="0"/>
        <w:spacing w:line="360" w:lineRule="auto"/>
        <w:ind w:firstLineChars="200" w:firstLine="480"/>
        <w:rPr>
          <w:sz w:val="24"/>
        </w:rPr>
      </w:pPr>
      <w:r w:rsidRPr="006F6FD9">
        <w:rPr>
          <w:rFonts w:hint="eastAsia"/>
          <w:sz w:val="24"/>
        </w:rPr>
        <w:t>目前国内外文献报道的非变性</w:t>
      </w:r>
      <w:r w:rsidRPr="006F6FD9">
        <w:rPr>
          <w:rFonts w:hint="eastAsia"/>
          <w:sz w:val="24"/>
        </w:rPr>
        <w:t>II</w:t>
      </w:r>
      <w:r w:rsidRPr="006F6FD9">
        <w:rPr>
          <w:rFonts w:hint="eastAsia"/>
          <w:sz w:val="24"/>
        </w:rPr>
        <w:t>型胶原蛋白测定方法主要包括</w:t>
      </w:r>
      <w:r w:rsidR="00337E7F">
        <w:rPr>
          <w:rFonts w:hint="eastAsia"/>
          <w:sz w:val="24"/>
        </w:rPr>
        <w:t>氨基酸分析仪法、</w:t>
      </w:r>
      <w:r w:rsidRPr="006F6FD9">
        <w:rPr>
          <w:rFonts w:hint="eastAsia"/>
          <w:sz w:val="24"/>
        </w:rPr>
        <w:t>酶联免疫和液相色谱法，考虑到检测成本和便捷性，行业内多采用</w:t>
      </w:r>
      <w:r w:rsidR="00337E7F">
        <w:rPr>
          <w:rFonts w:hint="eastAsia"/>
          <w:sz w:val="24"/>
        </w:rPr>
        <w:t>氨基酸分析仪法和</w:t>
      </w:r>
      <w:r w:rsidRPr="006F6FD9">
        <w:rPr>
          <w:rFonts w:hint="eastAsia"/>
          <w:sz w:val="24"/>
        </w:rPr>
        <w:t>液相色谱法进行检测</w:t>
      </w:r>
      <w:r w:rsidR="00B1503C">
        <w:rPr>
          <w:rFonts w:hint="eastAsia"/>
          <w:sz w:val="24"/>
        </w:rPr>
        <w:t>，</w:t>
      </w:r>
      <w:r w:rsidRPr="006F6FD9">
        <w:rPr>
          <w:rFonts w:hint="eastAsia"/>
          <w:sz w:val="24"/>
        </w:rPr>
        <w:t>因此，起草工作组拟在本文件中</w:t>
      </w:r>
      <w:r w:rsidR="00B1503C">
        <w:rPr>
          <w:rFonts w:hint="eastAsia"/>
          <w:sz w:val="24"/>
        </w:rPr>
        <w:t>采用这</w:t>
      </w:r>
      <w:r w:rsidR="00337E7F">
        <w:rPr>
          <w:rFonts w:hint="eastAsia"/>
          <w:sz w:val="24"/>
        </w:rPr>
        <w:t>两种</w:t>
      </w:r>
      <w:r w:rsidRPr="006F6FD9">
        <w:rPr>
          <w:rFonts w:hint="eastAsia"/>
          <w:sz w:val="24"/>
        </w:rPr>
        <w:t>方法</w:t>
      </w:r>
      <w:r w:rsidR="00B1503C">
        <w:rPr>
          <w:rFonts w:hint="eastAsia"/>
          <w:sz w:val="24"/>
        </w:rPr>
        <w:t>。参照</w:t>
      </w:r>
      <w:r w:rsidR="00B1503C" w:rsidRPr="00CE5E9F">
        <w:rPr>
          <w:bCs/>
          <w:sz w:val="24"/>
        </w:rPr>
        <w:t xml:space="preserve">YY/T 1453-2016 </w:t>
      </w:r>
      <w:r w:rsidR="00B1503C" w:rsidRPr="00CE5E9F">
        <w:rPr>
          <w:rFonts w:hint="eastAsia"/>
          <w:bCs/>
          <w:sz w:val="24"/>
        </w:rPr>
        <w:t>《组织工程医疗器械产品</w:t>
      </w:r>
      <w:r w:rsidR="00B1503C" w:rsidRPr="00CE5E9F">
        <w:rPr>
          <w:rFonts w:hint="eastAsia"/>
          <w:bCs/>
          <w:sz w:val="24"/>
        </w:rPr>
        <w:t xml:space="preserve"> </w:t>
      </w:r>
      <w:r w:rsidR="00B1503C" w:rsidRPr="00CE5E9F">
        <w:rPr>
          <w:bCs/>
          <w:sz w:val="24"/>
        </w:rPr>
        <w:t xml:space="preserve">I </w:t>
      </w:r>
      <w:r w:rsidR="00B1503C" w:rsidRPr="00CE5E9F">
        <w:rPr>
          <w:rFonts w:hint="eastAsia"/>
          <w:bCs/>
          <w:sz w:val="24"/>
        </w:rPr>
        <w:t>型胶原蛋白表征方法》附录</w:t>
      </w:r>
      <w:r w:rsidR="00B1503C" w:rsidRPr="00CE5E9F">
        <w:rPr>
          <w:rFonts w:hint="eastAsia"/>
          <w:bCs/>
          <w:sz w:val="24"/>
        </w:rPr>
        <w:t xml:space="preserve"> </w:t>
      </w:r>
      <w:r w:rsidR="00B1503C" w:rsidRPr="00CE5E9F">
        <w:rPr>
          <w:bCs/>
          <w:sz w:val="24"/>
        </w:rPr>
        <w:t xml:space="preserve">B </w:t>
      </w:r>
      <w:r w:rsidR="00B1503C" w:rsidRPr="00CE5E9F">
        <w:rPr>
          <w:rFonts w:hint="eastAsia"/>
          <w:bCs/>
          <w:sz w:val="24"/>
        </w:rPr>
        <w:t>方法二</w:t>
      </w:r>
      <w:r w:rsidR="00B1503C">
        <w:rPr>
          <w:rFonts w:hint="eastAsia"/>
          <w:sz w:val="24"/>
        </w:rPr>
        <w:t>进行了方法学研究与优化，形成了高效液相色谱法；参照</w:t>
      </w:r>
      <w:r w:rsidR="000B0AF8" w:rsidRPr="000B0AF8">
        <w:rPr>
          <w:rFonts w:hint="eastAsia"/>
          <w:bCs/>
          <w:sz w:val="24"/>
        </w:rPr>
        <w:t>NY/T 3130-2017</w:t>
      </w:r>
      <w:r w:rsidR="000B0AF8">
        <w:rPr>
          <w:rFonts w:hint="eastAsia"/>
          <w:bCs/>
          <w:sz w:val="24"/>
        </w:rPr>
        <w:t>《</w:t>
      </w:r>
      <w:r w:rsidR="000B0AF8" w:rsidRPr="000B0AF8">
        <w:rPr>
          <w:rFonts w:hint="eastAsia"/>
          <w:bCs/>
          <w:sz w:val="24"/>
        </w:rPr>
        <w:t>生乳中</w:t>
      </w:r>
      <w:r w:rsidR="000B0AF8" w:rsidRPr="000B0AF8">
        <w:rPr>
          <w:rFonts w:hint="eastAsia"/>
          <w:bCs/>
          <w:sz w:val="24"/>
        </w:rPr>
        <w:t>L-</w:t>
      </w:r>
      <w:r w:rsidR="000B0AF8" w:rsidRPr="000B0AF8">
        <w:rPr>
          <w:rFonts w:hint="eastAsia"/>
          <w:bCs/>
          <w:sz w:val="24"/>
        </w:rPr>
        <w:t>羟脯氨酸的测定</w:t>
      </w:r>
      <w:r w:rsidR="000B0AF8">
        <w:rPr>
          <w:rFonts w:hint="eastAsia"/>
          <w:bCs/>
          <w:sz w:val="24"/>
        </w:rPr>
        <w:t>》</w:t>
      </w:r>
      <w:r w:rsidR="000B0AF8" w:rsidRPr="000B0AF8">
        <w:rPr>
          <w:rFonts w:hint="eastAsia"/>
          <w:bCs/>
          <w:sz w:val="24"/>
        </w:rPr>
        <w:t>第三法测定酶解沉淀中羟脯氨酸的总含量</w:t>
      </w:r>
      <w:r w:rsidR="00B1503C">
        <w:rPr>
          <w:rFonts w:hint="eastAsia"/>
          <w:sz w:val="24"/>
        </w:rPr>
        <w:t>进行了方法学研究与优化，形成了</w:t>
      </w:r>
      <w:r w:rsidR="000B0AF8">
        <w:rPr>
          <w:rFonts w:hint="eastAsia"/>
          <w:sz w:val="24"/>
        </w:rPr>
        <w:t>氨基酸分析仪</w:t>
      </w:r>
      <w:r w:rsidR="00B1503C">
        <w:rPr>
          <w:rFonts w:hint="eastAsia"/>
          <w:sz w:val="24"/>
        </w:rPr>
        <w:t>法</w:t>
      </w:r>
      <w:r w:rsidR="000B0AF8">
        <w:rPr>
          <w:rFonts w:hint="eastAsia"/>
          <w:sz w:val="24"/>
        </w:rPr>
        <w:t>。</w:t>
      </w:r>
    </w:p>
    <w:p w14:paraId="7BF6FBC6" w14:textId="177EE0F2" w:rsidR="00D12EBA" w:rsidRDefault="00F361C7" w:rsidP="00D12EBA">
      <w:pPr>
        <w:snapToGrid w:val="0"/>
        <w:spacing w:line="360" w:lineRule="auto"/>
        <w:ind w:firstLineChars="200" w:firstLine="480"/>
        <w:rPr>
          <w:sz w:val="24"/>
        </w:rPr>
      </w:pPr>
      <w:r>
        <w:rPr>
          <w:rFonts w:hint="eastAsia"/>
          <w:sz w:val="24"/>
        </w:rPr>
        <w:t>主要检测原理为</w:t>
      </w:r>
      <w:r w:rsidRPr="00F361C7">
        <w:rPr>
          <w:rFonts w:hint="eastAsia"/>
          <w:sz w:val="24"/>
        </w:rPr>
        <w:t>非变性</w:t>
      </w:r>
      <w:r w:rsidRPr="00F361C7">
        <w:rPr>
          <w:rFonts w:hint="eastAsia"/>
          <w:sz w:val="24"/>
        </w:rPr>
        <w:t>II</w:t>
      </w:r>
      <w:r w:rsidRPr="00F361C7">
        <w:rPr>
          <w:rFonts w:hint="eastAsia"/>
          <w:sz w:val="24"/>
        </w:rPr>
        <w:t>型胶原蛋白在室温或者</w:t>
      </w:r>
      <w:r w:rsidRPr="00F361C7">
        <w:rPr>
          <w:rFonts w:hint="eastAsia"/>
          <w:sz w:val="24"/>
        </w:rPr>
        <w:t>37</w:t>
      </w:r>
      <w:r w:rsidRPr="00F361C7">
        <w:rPr>
          <w:rFonts w:hint="eastAsia"/>
          <w:sz w:val="24"/>
        </w:rPr>
        <w:t>℃下不被稀酸、蛋白酶所分解，而变性后的</w:t>
      </w:r>
      <w:r w:rsidRPr="00F361C7">
        <w:rPr>
          <w:rFonts w:hint="eastAsia"/>
          <w:sz w:val="24"/>
        </w:rPr>
        <w:t>II</w:t>
      </w:r>
      <w:r w:rsidRPr="00F361C7">
        <w:rPr>
          <w:rFonts w:hint="eastAsia"/>
          <w:sz w:val="24"/>
        </w:rPr>
        <w:t>型胶原蛋白或其他蛋白质能被稀酸、蛋白酶降解，因此通过稀酸和蛋白酶分步作用，将已经变性的</w:t>
      </w:r>
      <w:r w:rsidRPr="00F361C7">
        <w:rPr>
          <w:rFonts w:hint="eastAsia"/>
          <w:sz w:val="24"/>
        </w:rPr>
        <w:t>II</w:t>
      </w:r>
      <w:r w:rsidRPr="00F361C7">
        <w:rPr>
          <w:rFonts w:hint="eastAsia"/>
          <w:sz w:val="24"/>
        </w:rPr>
        <w:t>型胶原蛋白和其他杂蛋白降解为可溶性肽或者游离氨基酸去除，留下不溶性物质为非变性</w:t>
      </w:r>
      <w:r w:rsidRPr="00F361C7">
        <w:rPr>
          <w:rFonts w:hint="eastAsia"/>
          <w:sz w:val="24"/>
        </w:rPr>
        <w:t>II</w:t>
      </w:r>
      <w:r w:rsidRPr="00F361C7">
        <w:rPr>
          <w:rFonts w:hint="eastAsia"/>
          <w:sz w:val="24"/>
        </w:rPr>
        <w:t>型胶原蛋白</w:t>
      </w:r>
      <w:r>
        <w:rPr>
          <w:rFonts w:hint="eastAsia"/>
          <w:sz w:val="24"/>
        </w:rPr>
        <w:t>，</w:t>
      </w:r>
      <w:r w:rsidRPr="00F361C7">
        <w:rPr>
          <w:rFonts w:hint="eastAsia"/>
          <w:sz w:val="24"/>
        </w:rPr>
        <w:t>再将不溶性试样在酸性条件下水解后的羟脯氨酸作为非变性Ⅱ型胶原蛋白的标志性水解产物，以羟脯氨酸标准品的保留时间定性</w:t>
      </w:r>
      <w:r>
        <w:rPr>
          <w:rFonts w:hint="eastAsia"/>
          <w:sz w:val="24"/>
        </w:rPr>
        <w:t>，</w:t>
      </w:r>
      <w:r w:rsidRPr="00F361C7">
        <w:rPr>
          <w:rFonts w:hint="eastAsia"/>
          <w:sz w:val="24"/>
        </w:rPr>
        <w:t>利用氨基酸分析仪采用外标法定量测定羟脯氨酸含量或浓度，通过羟脯氨酸与非变性Ⅱ型胶原蛋白换算系数换算后计算出非变性Ⅱ型胶原蛋白的含量</w:t>
      </w:r>
      <w:r>
        <w:rPr>
          <w:rFonts w:hint="eastAsia"/>
          <w:sz w:val="24"/>
        </w:rPr>
        <w:t>。其中涉及到的换算系数很关键，起草工作组主要参考了</w:t>
      </w:r>
      <w:r w:rsidR="006F6FD9" w:rsidRPr="006F6FD9">
        <w:rPr>
          <w:rFonts w:hint="eastAsia"/>
          <w:sz w:val="24"/>
        </w:rPr>
        <w:t>NY</w:t>
      </w:r>
      <w:r>
        <w:rPr>
          <w:rFonts w:hint="eastAsia"/>
          <w:sz w:val="24"/>
        </w:rPr>
        <w:t>/</w:t>
      </w:r>
      <w:r w:rsidR="006F6FD9" w:rsidRPr="006F6FD9">
        <w:rPr>
          <w:rFonts w:hint="eastAsia"/>
          <w:sz w:val="24"/>
        </w:rPr>
        <w:t>T</w:t>
      </w:r>
      <w:r>
        <w:rPr>
          <w:rFonts w:hint="eastAsia"/>
          <w:sz w:val="24"/>
        </w:rPr>
        <w:t xml:space="preserve"> </w:t>
      </w:r>
      <w:r w:rsidR="006F6FD9" w:rsidRPr="006F6FD9">
        <w:rPr>
          <w:rFonts w:hint="eastAsia"/>
          <w:sz w:val="24"/>
        </w:rPr>
        <w:t>3608-2020</w:t>
      </w:r>
      <w:r>
        <w:rPr>
          <w:rFonts w:hint="eastAsia"/>
          <w:sz w:val="24"/>
        </w:rPr>
        <w:t>《</w:t>
      </w:r>
      <w:r w:rsidRPr="00F361C7">
        <w:rPr>
          <w:rFonts w:hint="eastAsia"/>
          <w:sz w:val="24"/>
        </w:rPr>
        <w:t>畜禽骨胶原蛋白含量测定方法</w:t>
      </w:r>
      <w:r w:rsidRPr="00F361C7">
        <w:rPr>
          <w:rFonts w:hint="eastAsia"/>
          <w:sz w:val="24"/>
        </w:rPr>
        <w:t xml:space="preserve"> </w:t>
      </w:r>
      <w:r w:rsidRPr="00F361C7">
        <w:rPr>
          <w:rFonts w:hint="eastAsia"/>
          <w:sz w:val="24"/>
        </w:rPr>
        <w:t>分光光度法</w:t>
      </w:r>
      <w:r>
        <w:rPr>
          <w:rFonts w:hint="eastAsia"/>
          <w:sz w:val="24"/>
        </w:rPr>
        <w:t>》，该标准适用于以畜禽动物骨（包括鸡、猪、牛、羊）为原料，经提取生产的蛋白质产品中胶原蛋白含量的测定</w:t>
      </w:r>
      <w:r w:rsidR="006F6FD9" w:rsidRPr="006F6FD9">
        <w:rPr>
          <w:rFonts w:hint="eastAsia"/>
          <w:sz w:val="24"/>
        </w:rPr>
        <w:t>。</w:t>
      </w:r>
      <w:r w:rsidR="0063483F">
        <w:rPr>
          <w:rFonts w:hint="eastAsia"/>
          <w:sz w:val="24"/>
        </w:rPr>
        <w:t>其中胶原蛋白换算系数指的是不同</w:t>
      </w:r>
      <w:r w:rsidR="0063483F">
        <w:rPr>
          <w:rFonts w:hint="eastAsia"/>
          <w:sz w:val="24"/>
        </w:rPr>
        <w:lastRenderedPageBreak/>
        <w:t>骨源或样品中胶原蛋白含量与羟脯氨酸含量的比值</w:t>
      </w:r>
      <w:r w:rsidR="00C20586">
        <w:rPr>
          <w:rFonts w:hint="eastAsia"/>
          <w:sz w:val="24"/>
        </w:rPr>
        <w:t>，鸡骨的胶原蛋白换算系数为</w:t>
      </w:r>
      <w:r w:rsidR="00C20586">
        <w:rPr>
          <w:rFonts w:hint="eastAsia"/>
          <w:sz w:val="24"/>
        </w:rPr>
        <w:t>7.4</w:t>
      </w:r>
      <w:r w:rsidR="00C20586">
        <w:rPr>
          <w:rFonts w:hint="eastAsia"/>
          <w:sz w:val="24"/>
        </w:rPr>
        <w:t>。</w:t>
      </w:r>
    </w:p>
    <w:p w14:paraId="0BE8DFBC" w14:textId="77777777" w:rsidR="008E49DE" w:rsidRDefault="00337E7F" w:rsidP="00C14233">
      <w:pPr>
        <w:snapToGrid w:val="0"/>
        <w:spacing w:line="360" w:lineRule="auto"/>
        <w:ind w:firstLineChars="200" w:firstLine="480"/>
        <w:rPr>
          <w:sz w:val="24"/>
        </w:rPr>
      </w:pPr>
      <w:r w:rsidRPr="006F6FD9">
        <w:rPr>
          <w:rFonts w:hint="eastAsia"/>
          <w:sz w:val="24"/>
        </w:rPr>
        <w:t>起草工作组</w:t>
      </w:r>
      <w:r>
        <w:rPr>
          <w:rFonts w:hint="eastAsia"/>
          <w:sz w:val="24"/>
        </w:rPr>
        <w:t>还对上述两种检测方法</w:t>
      </w:r>
      <w:r w:rsidR="00B1503C">
        <w:rPr>
          <w:rFonts w:hint="eastAsia"/>
          <w:sz w:val="24"/>
        </w:rPr>
        <w:t>开展了科学严谨详细的</w:t>
      </w:r>
      <w:r>
        <w:rPr>
          <w:rFonts w:hint="eastAsia"/>
          <w:sz w:val="24"/>
        </w:rPr>
        <w:t>方法学验证</w:t>
      </w:r>
      <w:r w:rsidR="00B1503C">
        <w:rPr>
          <w:rFonts w:hint="eastAsia"/>
          <w:sz w:val="24"/>
        </w:rPr>
        <w:t>与比对并形成了</w:t>
      </w:r>
      <w:r>
        <w:rPr>
          <w:rFonts w:hint="eastAsia"/>
          <w:sz w:val="24"/>
        </w:rPr>
        <w:t>验证报告</w:t>
      </w:r>
      <w:r w:rsidRPr="006F6FD9">
        <w:rPr>
          <w:rFonts w:hint="eastAsia"/>
          <w:sz w:val="24"/>
        </w:rPr>
        <w:t>。</w:t>
      </w:r>
    </w:p>
    <w:p w14:paraId="601DCF93" w14:textId="3732AFC0" w:rsidR="00337E7F" w:rsidRDefault="00B1503C" w:rsidP="008E49DE">
      <w:pPr>
        <w:snapToGrid w:val="0"/>
        <w:spacing w:line="360" w:lineRule="auto"/>
        <w:ind w:firstLineChars="200" w:firstLine="480"/>
        <w:rPr>
          <w:sz w:val="24"/>
        </w:rPr>
      </w:pPr>
      <w:r>
        <w:rPr>
          <w:rFonts w:hint="eastAsia"/>
          <w:sz w:val="24"/>
        </w:rPr>
        <w:t>对</w:t>
      </w:r>
      <w:r w:rsidRPr="00B1503C">
        <w:rPr>
          <w:rFonts w:hint="eastAsia"/>
          <w:sz w:val="24"/>
        </w:rPr>
        <w:t>高效液相色谱法检测羟脯氨酸含量</w:t>
      </w:r>
      <w:r>
        <w:rPr>
          <w:rFonts w:hint="eastAsia"/>
          <w:sz w:val="24"/>
        </w:rPr>
        <w:t>的验证中，</w:t>
      </w:r>
      <w:r w:rsidR="00C14233">
        <w:rPr>
          <w:rFonts w:hint="eastAsia"/>
          <w:sz w:val="24"/>
        </w:rPr>
        <w:t>选用了</w:t>
      </w:r>
      <w:r w:rsidR="00C14233" w:rsidRPr="00C14233">
        <w:rPr>
          <w:rFonts w:hint="eastAsia"/>
          <w:sz w:val="24"/>
        </w:rPr>
        <w:t>安徽盛美诺生物技术有限公司</w:t>
      </w:r>
      <w:r w:rsidR="00C14233">
        <w:rPr>
          <w:rFonts w:hint="eastAsia"/>
          <w:sz w:val="24"/>
        </w:rPr>
        <w:t>的</w:t>
      </w:r>
      <w:r w:rsidR="00C14233" w:rsidRPr="00C14233">
        <w:rPr>
          <w:rFonts w:hint="eastAsia"/>
          <w:sz w:val="24"/>
        </w:rPr>
        <w:t>非变性</w:t>
      </w:r>
      <w:r w:rsidR="00C14233" w:rsidRPr="00C14233">
        <w:rPr>
          <w:rFonts w:hint="eastAsia"/>
          <w:sz w:val="24"/>
        </w:rPr>
        <w:t>II</w:t>
      </w:r>
      <w:r w:rsidR="00C14233" w:rsidRPr="00C14233">
        <w:rPr>
          <w:rFonts w:hint="eastAsia"/>
          <w:sz w:val="24"/>
        </w:rPr>
        <w:t>型胶原样品</w:t>
      </w:r>
      <w:r w:rsidR="008E49DE" w:rsidRPr="00C14233">
        <w:rPr>
          <w:rFonts w:hint="eastAsia"/>
          <w:sz w:val="24"/>
        </w:rPr>
        <w:t>（</w:t>
      </w:r>
      <w:r w:rsidR="008E49DE" w:rsidRPr="00C14233">
        <w:rPr>
          <w:rFonts w:hint="eastAsia"/>
          <w:sz w:val="24"/>
        </w:rPr>
        <w:t>20240409F</w:t>
      </w:r>
      <w:r w:rsidR="008E49DE" w:rsidRPr="00C14233">
        <w:rPr>
          <w:rFonts w:hint="eastAsia"/>
          <w:sz w:val="24"/>
        </w:rPr>
        <w:t>）</w:t>
      </w:r>
      <w:r w:rsidR="008E49DE">
        <w:rPr>
          <w:rFonts w:hint="eastAsia"/>
          <w:sz w:val="24"/>
        </w:rPr>
        <w:t>、</w:t>
      </w:r>
      <w:r w:rsidR="008E49DE" w:rsidRPr="00C14233">
        <w:rPr>
          <w:rFonts w:hint="eastAsia"/>
          <w:sz w:val="24"/>
        </w:rPr>
        <w:t>源叶公司</w:t>
      </w:r>
      <w:r w:rsidR="008E49DE">
        <w:rPr>
          <w:rFonts w:hint="eastAsia"/>
          <w:sz w:val="24"/>
        </w:rPr>
        <w:t>的</w:t>
      </w:r>
      <w:r w:rsidR="008E49DE" w:rsidRPr="00C14233">
        <w:rPr>
          <w:rFonts w:hint="eastAsia"/>
          <w:sz w:val="24"/>
        </w:rPr>
        <w:t>L-</w:t>
      </w:r>
      <w:r w:rsidR="008E49DE" w:rsidRPr="00C14233">
        <w:rPr>
          <w:rFonts w:hint="eastAsia"/>
          <w:sz w:val="24"/>
        </w:rPr>
        <w:t>羟脯氨酸</w:t>
      </w:r>
      <w:r w:rsidR="00C14233" w:rsidRPr="00C14233">
        <w:rPr>
          <w:rFonts w:hint="eastAsia"/>
          <w:sz w:val="24"/>
        </w:rPr>
        <w:t>对照品</w:t>
      </w:r>
      <w:r w:rsidR="008E49DE">
        <w:rPr>
          <w:rFonts w:hint="eastAsia"/>
          <w:sz w:val="24"/>
        </w:rPr>
        <w:t>；对方法的线性范围进行了验证，结果表明选取</w:t>
      </w:r>
      <w:r w:rsidR="008E49DE" w:rsidRPr="008E49DE">
        <w:rPr>
          <w:rFonts w:hint="eastAsia"/>
          <w:sz w:val="24"/>
        </w:rPr>
        <w:t>25</w:t>
      </w:r>
      <w:r w:rsidR="008E49DE" w:rsidRPr="008E49DE">
        <w:rPr>
          <w:rFonts w:hint="eastAsia"/>
          <w:sz w:val="24"/>
        </w:rPr>
        <w:t>μ</w:t>
      </w:r>
      <w:r w:rsidR="008E49DE" w:rsidRPr="008E49DE">
        <w:rPr>
          <w:rFonts w:hint="eastAsia"/>
          <w:sz w:val="24"/>
        </w:rPr>
        <w:t>g/m</w:t>
      </w:r>
      <w:r w:rsidR="008E49DE">
        <w:rPr>
          <w:rFonts w:hint="eastAsia"/>
          <w:sz w:val="24"/>
        </w:rPr>
        <w:t>L</w:t>
      </w:r>
      <w:r w:rsidR="008E49DE" w:rsidRPr="008E49DE">
        <w:rPr>
          <w:rFonts w:hint="eastAsia"/>
          <w:sz w:val="24"/>
        </w:rPr>
        <w:t>、</w:t>
      </w:r>
      <w:r w:rsidR="008E49DE" w:rsidRPr="008E49DE">
        <w:rPr>
          <w:rFonts w:hint="eastAsia"/>
          <w:sz w:val="24"/>
        </w:rPr>
        <w:t>50</w:t>
      </w:r>
      <w:r w:rsidR="008E49DE" w:rsidRPr="008E49DE">
        <w:rPr>
          <w:rFonts w:hint="eastAsia"/>
          <w:sz w:val="24"/>
        </w:rPr>
        <w:t>μ</w:t>
      </w:r>
      <w:r w:rsidR="008E49DE" w:rsidRPr="008E49DE">
        <w:rPr>
          <w:rFonts w:hint="eastAsia"/>
          <w:sz w:val="24"/>
        </w:rPr>
        <w:t>g/m</w:t>
      </w:r>
      <w:r w:rsidR="008E49DE">
        <w:rPr>
          <w:rFonts w:hint="eastAsia"/>
          <w:sz w:val="24"/>
        </w:rPr>
        <w:t>L</w:t>
      </w:r>
      <w:r w:rsidR="008E49DE" w:rsidRPr="008E49DE">
        <w:rPr>
          <w:rFonts w:hint="eastAsia"/>
          <w:sz w:val="24"/>
        </w:rPr>
        <w:t>、</w:t>
      </w:r>
      <w:r w:rsidR="008E49DE" w:rsidRPr="008E49DE">
        <w:rPr>
          <w:rFonts w:hint="eastAsia"/>
          <w:sz w:val="24"/>
        </w:rPr>
        <w:t>100</w:t>
      </w:r>
      <w:r w:rsidR="008E49DE" w:rsidRPr="008E49DE">
        <w:rPr>
          <w:rFonts w:hint="eastAsia"/>
          <w:sz w:val="24"/>
        </w:rPr>
        <w:t>μ</w:t>
      </w:r>
      <w:r w:rsidR="008E49DE" w:rsidRPr="008E49DE">
        <w:rPr>
          <w:rFonts w:hint="eastAsia"/>
          <w:sz w:val="24"/>
        </w:rPr>
        <w:t>g/m</w:t>
      </w:r>
      <w:r w:rsidR="008E49DE">
        <w:rPr>
          <w:rFonts w:hint="eastAsia"/>
          <w:sz w:val="24"/>
        </w:rPr>
        <w:t>L</w:t>
      </w:r>
      <w:r w:rsidR="008E49DE" w:rsidRPr="008E49DE">
        <w:rPr>
          <w:rFonts w:hint="eastAsia"/>
          <w:sz w:val="24"/>
        </w:rPr>
        <w:t>、</w:t>
      </w:r>
      <w:r w:rsidR="008E49DE" w:rsidRPr="008E49DE">
        <w:rPr>
          <w:rFonts w:hint="eastAsia"/>
          <w:sz w:val="24"/>
        </w:rPr>
        <w:t>250</w:t>
      </w:r>
      <w:r w:rsidR="008E49DE" w:rsidRPr="008E49DE">
        <w:rPr>
          <w:rFonts w:hint="eastAsia"/>
          <w:sz w:val="24"/>
        </w:rPr>
        <w:t>μ</w:t>
      </w:r>
      <w:r w:rsidR="008E49DE" w:rsidRPr="008E49DE">
        <w:rPr>
          <w:rFonts w:hint="eastAsia"/>
          <w:sz w:val="24"/>
        </w:rPr>
        <w:t>g/m</w:t>
      </w:r>
      <w:r w:rsidR="008E49DE">
        <w:rPr>
          <w:rFonts w:hint="eastAsia"/>
          <w:sz w:val="24"/>
        </w:rPr>
        <w:t>L</w:t>
      </w:r>
      <w:r w:rsidR="008E49DE" w:rsidRPr="008E49DE">
        <w:rPr>
          <w:rFonts w:hint="eastAsia"/>
          <w:sz w:val="24"/>
        </w:rPr>
        <w:t>、</w:t>
      </w:r>
      <w:r w:rsidR="008E49DE" w:rsidRPr="008E49DE">
        <w:rPr>
          <w:rFonts w:hint="eastAsia"/>
          <w:sz w:val="24"/>
        </w:rPr>
        <w:t>500</w:t>
      </w:r>
      <w:r w:rsidR="008E49DE" w:rsidRPr="008E49DE">
        <w:rPr>
          <w:rFonts w:hint="eastAsia"/>
          <w:sz w:val="24"/>
        </w:rPr>
        <w:t>μ</w:t>
      </w:r>
      <w:r w:rsidR="008E49DE" w:rsidRPr="008E49DE">
        <w:rPr>
          <w:rFonts w:hint="eastAsia"/>
          <w:sz w:val="24"/>
        </w:rPr>
        <w:t>g/</w:t>
      </w:r>
      <w:r w:rsidR="008E49DE">
        <w:rPr>
          <w:rFonts w:hint="eastAsia"/>
          <w:sz w:val="24"/>
        </w:rPr>
        <w:t>mL5</w:t>
      </w:r>
      <w:r w:rsidR="008E49DE">
        <w:rPr>
          <w:rFonts w:hint="eastAsia"/>
          <w:sz w:val="24"/>
        </w:rPr>
        <w:t>个点，在</w:t>
      </w:r>
      <w:r w:rsidR="008E49DE" w:rsidRPr="008E49DE">
        <w:rPr>
          <w:rFonts w:hint="eastAsia"/>
          <w:sz w:val="24"/>
        </w:rPr>
        <w:t>L-</w:t>
      </w:r>
      <w:r w:rsidR="008E49DE" w:rsidRPr="008E49DE">
        <w:rPr>
          <w:rFonts w:hint="eastAsia"/>
          <w:sz w:val="24"/>
        </w:rPr>
        <w:t>羟脯氨酸浓度为</w:t>
      </w:r>
      <w:r w:rsidR="008E49DE" w:rsidRPr="008E49DE">
        <w:rPr>
          <w:rFonts w:hint="eastAsia"/>
          <w:sz w:val="24"/>
        </w:rPr>
        <w:t>25</w:t>
      </w:r>
      <w:r w:rsidR="008E49DE" w:rsidRPr="008E49DE">
        <w:rPr>
          <w:rFonts w:hint="eastAsia"/>
          <w:sz w:val="24"/>
        </w:rPr>
        <w:t>μ</w:t>
      </w:r>
      <w:r w:rsidR="008E49DE" w:rsidRPr="008E49DE">
        <w:rPr>
          <w:rFonts w:hint="eastAsia"/>
          <w:sz w:val="24"/>
        </w:rPr>
        <w:t>g/ml ~ 500</w:t>
      </w:r>
      <w:r w:rsidR="008E49DE" w:rsidRPr="008E49DE">
        <w:rPr>
          <w:rFonts w:hint="eastAsia"/>
          <w:sz w:val="24"/>
        </w:rPr>
        <w:t>μ</w:t>
      </w:r>
      <w:r w:rsidR="008E49DE" w:rsidRPr="008E49DE">
        <w:rPr>
          <w:rFonts w:hint="eastAsia"/>
          <w:sz w:val="24"/>
        </w:rPr>
        <w:t>g/ml</w:t>
      </w:r>
      <w:r w:rsidR="008E49DE">
        <w:rPr>
          <w:rFonts w:hint="eastAsia"/>
          <w:sz w:val="24"/>
        </w:rPr>
        <w:t>的范围内峰面积呈线性；对方法检出限和定量限进行验证，结果为</w:t>
      </w:r>
      <w:r w:rsidR="008E49DE" w:rsidRPr="008E49DE">
        <w:rPr>
          <w:rFonts w:hint="eastAsia"/>
          <w:sz w:val="24"/>
        </w:rPr>
        <w:t>检出限</w:t>
      </w:r>
      <w:r w:rsidR="008E49DE">
        <w:rPr>
          <w:rFonts w:hint="eastAsia"/>
          <w:sz w:val="24"/>
        </w:rPr>
        <w:t>是</w:t>
      </w:r>
      <w:r w:rsidR="008E49DE" w:rsidRPr="008E49DE">
        <w:rPr>
          <w:rFonts w:hint="eastAsia"/>
          <w:sz w:val="24"/>
        </w:rPr>
        <w:t>2.97</w:t>
      </w:r>
      <w:r w:rsidR="008E49DE" w:rsidRPr="008E49DE">
        <w:rPr>
          <w:rFonts w:hint="eastAsia"/>
          <w:sz w:val="24"/>
        </w:rPr>
        <w:t>μ</w:t>
      </w:r>
      <w:r w:rsidR="008E49DE" w:rsidRPr="008E49DE">
        <w:rPr>
          <w:rFonts w:hint="eastAsia"/>
          <w:sz w:val="24"/>
        </w:rPr>
        <w:t>g/ml (</w:t>
      </w:r>
      <w:r w:rsidR="008E49DE" w:rsidRPr="008E49DE">
        <w:rPr>
          <w:rFonts w:hint="eastAsia"/>
          <w:sz w:val="24"/>
        </w:rPr>
        <w:t>试剂空白、</w:t>
      </w:r>
      <w:r w:rsidR="008E49DE" w:rsidRPr="008E49DE">
        <w:rPr>
          <w:rFonts w:hint="eastAsia"/>
          <w:sz w:val="24"/>
        </w:rPr>
        <w:t>3</w:t>
      </w:r>
      <w:r w:rsidR="008E49DE" w:rsidRPr="008E49DE">
        <w:rPr>
          <w:rFonts w:hint="eastAsia"/>
          <w:sz w:val="24"/>
        </w:rPr>
        <w:t>倍信噪比</w:t>
      </w:r>
      <w:r w:rsidR="008E49DE" w:rsidRPr="008E49DE">
        <w:rPr>
          <w:rFonts w:hint="eastAsia"/>
          <w:sz w:val="24"/>
        </w:rPr>
        <w:t>)</w:t>
      </w:r>
      <w:r w:rsidR="008E49DE">
        <w:rPr>
          <w:rFonts w:hint="eastAsia"/>
          <w:sz w:val="24"/>
        </w:rPr>
        <w:t>，</w:t>
      </w:r>
      <w:r w:rsidR="008E49DE" w:rsidRPr="008E49DE">
        <w:rPr>
          <w:rFonts w:hint="eastAsia"/>
          <w:sz w:val="24"/>
        </w:rPr>
        <w:t>定量限</w:t>
      </w:r>
      <w:r w:rsidR="008E49DE">
        <w:rPr>
          <w:rFonts w:hint="eastAsia"/>
          <w:sz w:val="24"/>
        </w:rPr>
        <w:t>是</w:t>
      </w:r>
      <w:r w:rsidR="008E49DE" w:rsidRPr="008E49DE">
        <w:rPr>
          <w:rFonts w:hint="eastAsia"/>
          <w:sz w:val="24"/>
        </w:rPr>
        <w:t>9.90</w:t>
      </w:r>
      <w:r w:rsidR="008E49DE" w:rsidRPr="008E49DE">
        <w:rPr>
          <w:rFonts w:hint="eastAsia"/>
          <w:sz w:val="24"/>
        </w:rPr>
        <w:t>μ</w:t>
      </w:r>
      <w:r w:rsidR="008E49DE" w:rsidRPr="008E49DE">
        <w:rPr>
          <w:rFonts w:hint="eastAsia"/>
          <w:sz w:val="24"/>
        </w:rPr>
        <w:t>g/ml (</w:t>
      </w:r>
      <w:r w:rsidR="008E49DE" w:rsidRPr="008E49DE">
        <w:rPr>
          <w:rFonts w:hint="eastAsia"/>
          <w:sz w:val="24"/>
        </w:rPr>
        <w:t>样品空白、</w:t>
      </w:r>
      <w:r w:rsidR="008E49DE" w:rsidRPr="008E49DE">
        <w:rPr>
          <w:rFonts w:hint="eastAsia"/>
          <w:sz w:val="24"/>
        </w:rPr>
        <w:t>10</w:t>
      </w:r>
      <w:r w:rsidR="008E49DE" w:rsidRPr="008E49DE">
        <w:rPr>
          <w:rFonts w:hint="eastAsia"/>
          <w:sz w:val="24"/>
        </w:rPr>
        <w:t>倍信噪比</w:t>
      </w:r>
      <w:r w:rsidR="008E49DE" w:rsidRPr="008E49DE">
        <w:rPr>
          <w:rFonts w:hint="eastAsia"/>
          <w:sz w:val="24"/>
        </w:rPr>
        <w:t>)</w:t>
      </w:r>
      <w:r w:rsidR="008E49DE">
        <w:rPr>
          <w:rFonts w:hint="eastAsia"/>
          <w:sz w:val="24"/>
        </w:rPr>
        <w:t>；</w:t>
      </w:r>
      <w:r w:rsidR="008E49DE" w:rsidRPr="008E49DE">
        <w:rPr>
          <w:rFonts w:hint="eastAsia"/>
          <w:sz w:val="24"/>
        </w:rPr>
        <w:t>依照</w:t>
      </w:r>
      <w:r w:rsidR="008E49DE" w:rsidRPr="008E49DE">
        <w:rPr>
          <w:rFonts w:hint="eastAsia"/>
          <w:sz w:val="24"/>
        </w:rPr>
        <w:t>GB/T27417-2017</w:t>
      </w:r>
      <w:r w:rsidR="008E49DE">
        <w:rPr>
          <w:rFonts w:hint="eastAsia"/>
          <w:sz w:val="24"/>
        </w:rPr>
        <w:t>《</w:t>
      </w:r>
      <w:r w:rsidR="008E49DE" w:rsidRPr="008E49DE">
        <w:rPr>
          <w:rFonts w:hint="eastAsia"/>
          <w:sz w:val="24"/>
        </w:rPr>
        <w:t>合格评定</w:t>
      </w:r>
      <w:r w:rsidR="008E49DE" w:rsidRPr="008E49DE">
        <w:rPr>
          <w:rFonts w:hint="eastAsia"/>
          <w:sz w:val="24"/>
        </w:rPr>
        <w:t xml:space="preserve"> </w:t>
      </w:r>
      <w:r w:rsidR="008E49DE" w:rsidRPr="008E49DE">
        <w:rPr>
          <w:rFonts w:hint="eastAsia"/>
          <w:sz w:val="24"/>
        </w:rPr>
        <w:t>化学分析方法确认和验证指南</w:t>
      </w:r>
      <w:r w:rsidR="008E49DE">
        <w:rPr>
          <w:rFonts w:hint="eastAsia"/>
          <w:sz w:val="24"/>
        </w:rPr>
        <w:t>》</w:t>
      </w:r>
      <w:r w:rsidR="00574AD5">
        <w:rPr>
          <w:rFonts w:hint="eastAsia"/>
          <w:sz w:val="24"/>
        </w:rPr>
        <w:t>，</w:t>
      </w:r>
      <w:r w:rsidR="008E49DE">
        <w:rPr>
          <w:rFonts w:hint="eastAsia"/>
          <w:sz w:val="24"/>
        </w:rPr>
        <w:t>对</w:t>
      </w:r>
      <w:r w:rsidR="008E49DE" w:rsidRPr="008E49DE">
        <w:rPr>
          <w:rFonts w:hint="eastAsia"/>
          <w:sz w:val="24"/>
        </w:rPr>
        <w:t>仪器重复性</w:t>
      </w:r>
      <w:r w:rsidR="008E49DE">
        <w:rPr>
          <w:rFonts w:hint="eastAsia"/>
          <w:sz w:val="24"/>
        </w:rPr>
        <w:t>进行了测定，</w:t>
      </w:r>
      <w:r w:rsidR="00574AD5" w:rsidRPr="00574AD5">
        <w:rPr>
          <w:rFonts w:hint="eastAsia"/>
          <w:sz w:val="24"/>
        </w:rPr>
        <w:t>取</w:t>
      </w:r>
      <w:r w:rsidR="00574AD5" w:rsidRPr="00574AD5">
        <w:rPr>
          <w:rFonts w:hint="eastAsia"/>
          <w:sz w:val="24"/>
        </w:rPr>
        <w:t>25mg/L</w:t>
      </w:r>
      <w:r w:rsidR="00574AD5" w:rsidRPr="00574AD5">
        <w:rPr>
          <w:rFonts w:hint="eastAsia"/>
          <w:sz w:val="24"/>
        </w:rPr>
        <w:t>标品，做</w:t>
      </w:r>
      <w:r w:rsidR="00574AD5" w:rsidRPr="00574AD5">
        <w:rPr>
          <w:rFonts w:hint="eastAsia"/>
          <w:sz w:val="24"/>
        </w:rPr>
        <w:t>6</w:t>
      </w:r>
      <w:r w:rsidR="00574AD5" w:rsidRPr="00574AD5">
        <w:rPr>
          <w:rFonts w:hint="eastAsia"/>
          <w:sz w:val="24"/>
        </w:rPr>
        <w:t>个平行，计算标准偏差，</w:t>
      </w:r>
      <w:r w:rsidR="008E49DE">
        <w:rPr>
          <w:rFonts w:hint="eastAsia"/>
          <w:sz w:val="24"/>
        </w:rPr>
        <w:t>结果表明</w:t>
      </w:r>
      <w:r w:rsidR="008E49DE" w:rsidRPr="008E49DE">
        <w:rPr>
          <w:rFonts w:hint="eastAsia"/>
          <w:sz w:val="24"/>
        </w:rPr>
        <w:t>相对标准偏差为</w:t>
      </w:r>
      <w:r w:rsidR="008E49DE" w:rsidRPr="008E49DE">
        <w:rPr>
          <w:rFonts w:hint="eastAsia"/>
          <w:sz w:val="24"/>
        </w:rPr>
        <w:t>1.84%</w:t>
      </w:r>
      <w:r w:rsidR="008E49DE" w:rsidRPr="008E49DE">
        <w:rPr>
          <w:rFonts w:hint="eastAsia"/>
          <w:sz w:val="24"/>
        </w:rPr>
        <w:t>，满足方法要求</w:t>
      </w:r>
      <w:r w:rsidR="008E49DE">
        <w:rPr>
          <w:rFonts w:hint="eastAsia"/>
          <w:sz w:val="24"/>
        </w:rPr>
        <w:t>；</w:t>
      </w:r>
      <w:r w:rsidR="00574AD5" w:rsidRPr="00574AD5">
        <w:rPr>
          <w:rFonts w:hint="eastAsia"/>
          <w:sz w:val="24"/>
        </w:rPr>
        <w:t>依照</w:t>
      </w:r>
      <w:r w:rsidR="00574AD5" w:rsidRPr="00574AD5">
        <w:rPr>
          <w:rFonts w:hint="eastAsia"/>
          <w:sz w:val="24"/>
        </w:rPr>
        <w:t>GB/T27417-2017</w:t>
      </w:r>
      <w:r w:rsidR="00574AD5">
        <w:rPr>
          <w:rFonts w:hint="eastAsia"/>
          <w:sz w:val="24"/>
        </w:rPr>
        <w:t>《</w:t>
      </w:r>
      <w:r w:rsidR="00574AD5" w:rsidRPr="00574AD5">
        <w:rPr>
          <w:rFonts w:hint="eastAsia"/>
          <w:sz w:val="24"/>
        </w:rPr>
        <w:t>合格评定</w:t>
      </w:r>
      <w:r w:rsidR="00574AD5" w:rsidRPr="00574AD5">
        <w:rPr>
          <w:rFonts w:hint="eastAsia"/>
          <w:sz w:val="24"/>
        </w:rPr>
        <w:t xml:space="preserve"> </w:t>
      </w:r>
      <w:r w:rsidR="00574AD5" w:rsidRPr="00574AD5">
        <w:rPr>
          <w:rFonts w:hint="eastAsia"/>
          <w:sz w:val="24"/>
        </w:rPr>
        <w:t>化学分析方法确认和验证指南</w:t>
      </w:r>
      <w:r w:rsidR="00574AD5">
        <w:rPr>
          <w:rFonts w:hint="eastAsia"/>
          <w:sz w:val="24"/>
        </w:rPr>
        <w:t>》</w:t>
      </w:r>
      <w:r w:rsidR="00574AD5" w:rsidRPr="00574AD5">
        <w:rPr>
          <w:rFonts w:hint="eastAsia"/>
          <w:sz w:val="24"/>
        </w:rPr>
        <w:t>，</w:t>
      </w:r>
      <w:r w:rsidR="00574AD5">
        <w:rPr>
          <w:rFonts w:hint="eastAsia"/>
          <w:sz w:val="24"/>
        </w:rPr>
        <w:t>对</w:t>
      </w:r>
      <w:r w:rsidR="00574AD5" w:rsidRPr="00574AD5">
        <w:rPr>
          <w:rFonts w:hint="eastAsia"/>
          <w:sz w:val="24"/>
        </w:rPr>
        <w:t>精密度</w:t>
      </w:r>
      <w:r w:rsidR="00574AD5">
        <w:rPr>
          <w:rFonts w:hint="eastAsia"/>
          <w:sz w:val="24"/>
        </w:rPr>
        <w:t>进行了测定</w:t>
      </w:r>
      <w:r w:rsidR="00574AD5" w:rsidRPr="00574AD5">
        <w:rPr>
          <w:rFonts w:hint="eastAsia"/>
          <w:sz w:val="24"/>
        </w:rPr>
        <w:t>。取盛美诺</w:t>
      </w:r>
      <w:r w:rsidR="00574AD5" w:rsidRPr="00574AD5">
        <w:rPr>
          <w:rFonts w:hint="eastAsia"/>
          <w:sz w:val="24"/>
        </w:rPr>
        <w:t>20240409F</w:t>
      </w:r>
      <w:r w:rsidR="00574AD5" w:rsidRPr="00574AD5">
        <w:rPr>
          <w:rFonts w:hint="eastAsia"/>
          <w:sz w:val="24"/>
        </w:rPr>
        <w:t>样品，按方法独立测定</w:t>
      </w:r>
      <w:r w:rsidR="00574AD5" w:rsidRPr="00574AD5">
        <w:rPr>
          <w:rFonts w:hint="eastAsia"/>
          <w:sz w:val="24"/>
        </w:rPr>
        <w:t>6</w:t>
      </w:r>
      <w:r w:rsidR="00574AD5" w:rsidRPr="00574AD5">
        <w:rPr>
          <w:rFonts w:hint="eastAsia"/>
          <w:sz w:val="24"/>
        </w:rPr>
        <w:t>次，计算标准偏差，</w:t>
      </w:r>
      <w:r w:rsidR="00574AD5">
        <w:rPr>
          <w:rFonts w:hint="eastAsia"/>
          <w:sz w:val="24"/>
        </w:rPr>
        <w:t>结果表明</w:t>
      </w:r>
      <w:r w:rsidR="00574AD5" w:rsidRPr="00574AD5">
        <w:rPr>
          <w:rFonts w:hint="eastAsia"/>
          <w:sz w:val="24"/>
        </w:rPr>
        <w:t>相对标准偏差为</w:t>
      </w:r>
      <w:r w:rsidR="00574AD5" w:rsidRPr="00574AD5">
        <w:rPr>
          <w:rFonts w:hint="eastAsia"/>
          <w:sz w:val="24"/>
        </w:rPr>
        <w:t>1.32%</w:t>
      </w:r>
      <w:r w:rsidR="00574AD5" w:rsidRPr="00574AD5">
        <w:rPr>
          <w:rFonts w:hint="eastAsia"/>
          <w:sz w:val="24"/>
        </w:rPr>
        <w:t>，符合方法要求</w:t>
      </w:r>
      <w:r w:rsidR="00574AD5">
        <w:rPr>
          <w:rFonts w:hint="eastAsia"/>
          <w:sz w:val="24"/>
        </w:rPr>
        <w:t>；</w:t>
      </w:r>
      <w:r w:rsidR="00574AD5" w:rsidRPr="00574AD5">
        <w:rPr>
          <w:rFonts w:hint="eastAsia"/>
          <w:sz w:val="24"/>
        </w:rPr>
        <w:t>采用加标回收的方法</w:t>
      </w:r>
      <w:r w:rsidR="00574AD5">
        <w:rPr>
          <w:rFonts w:hint="eastAsia"/>
          <w:sz w:val="24"/>
        </w:rPr>
        <w:t>对准确度进行测定</w:t>
      </w:r>
      <w:r w:rsidR="00574AD5" w:rsidRPr="00574AD5">
        <w:rPr>
          <w:rFonts w:hint="eastAsia"/>
          <w:sz w:val="24"/>
        </w:rPr>
        <w:t>，取盛美诺</w:t>
      </w:r>
      <w:r w:rsidR="00574AD5" w:rsidRPr="00574AD5">
        <w:rPr>
          <w:rFonts w:hint="eastAsia"/>
          <w:sz w:val="24"/>
        </w:rPr>
        <w:t>20240409F</w:t>
      </w:r>
      <w:r w:rsidR="00574AD5" w:rsidRPr="00574AD5">
        <w:rPr>
          <w:rFonts w:hint="eastAsia"/>
          <w:sz w:val="24"/>
        </w:rPr>
        <w:t>样品分别加标</w:t>
      </w:r>
      <w:r w:rsidR="00574AD5" w:rsidRPr="00574AD5">
        <w:rPr>
          <w:rFonts w:hint="eastAsia"/>
          <w:sz w:val="24"/>
        </w:rPr>
        <w:t>L-</w:t>
      </w:r>
      <w:r w:rsidR="00574AD5" w:rsidRPr="00574AD5">
        <w:rPr>
          <w:rFonts w:hint="eastAsia"/>
          <w:sz w:val="24"/>
        </w:rPr>
        <w:t>羟脯氨酸标准物质</w:t>
      </w:r>
      <w:r w:rsidR="00574AD5" w:rsidRPr="00574AD5">
        <w:rPr>
          <w:rFonts w:hint="eastAsia"/>
          <w:sz w:val="24"/>
        </w:rPr>
        <w:t>2.5mg</w:t>
      </w:r>
      <w:r w:rsidR="00574AD5" w:rsidRPr="00574AD5">
        <w:rPr>
          <w:rFonts w:hint="eastAsia"/>
          <w:sz w:val="24"/>
        </w:rPr>
        <w:t>、</w:t>
      </w:r>
      <w:r w:rsidR="00574AD5" w:rsidRPr="00574AD5">
        <w:rPr>
          <w:rFonts w:hint="eastAsia"/>
          <w:sz w:val="24"/>
        </w:rPr>
        <w:t>10.0mg</w:t>
      </w:r>
      <w:r w:rsidR="00574AD5" w:rsidRPr="00574AD5">
        <w:rPr>
          <w:rFonts w:hint="eastAsia"/>
          <w:sz w:val="24"/>
        </w:rPr>
        <w:t>，分别做</w:t>
      </w:r>
      <w:r w:rsidR="00574AD5" w:rsidRPr="00574AD5">
        <w:rPr>
          <w:rFonts w:hint="eastAsia"/>
          <w:sz w:val="24"/>
        </w:rPr>
        <w:t>6</w:t>
      </w:r>
      <w:r w:rsidR="00574AD5" w:rsidRPr="00574AD5">
        <w:rPr>
          <w:rFonts w:hint="eastAsia"/>
          <w:sz w:val="24"/>
        </w:rPr>
        <w:t>个平行，计算结果、测定回收率</w:t>
      </w:r>
      <w:r w:rsidR="00574AD5">
        <w:rPr>
          <w:rFonts w:hint="eastAsia"/>
          <w:sz w:val="24"/>
        </w:rPr>
        <w:t>，结果表明</w:t>
      </w:r>
      <w:r w:rsidR="00574AD5" w:rsidRPr="00574AD5">
        <w:rPr>
          <w:rFonts w:hint="eastAsia"/>
          <w:sz w:val="24"/>
        </w:rPr>
        <w:t>加标实验数据回收率分别为</w:t>
      </w:r>
      <w:r w:rsidR="00574AD5" w:rsidRPr="00574AD5">
        <w:rPr>
          <w:rFonts w:hint="eastAsia"/>
          <w:sz w:val="24"/>
        </w:rPr>
        <w:t>103.5%</w:t>
      </w:r>
      <w:r w:rsidR="00574AD5" w:rsidRPr="00574AD5">
        <w:rPr>
          <w:rFonts w:hint="eastAsia"/>
          <w:sz w:val="24"/>
        </w:rPr>
        <w:t>、</w:t>
      </w:r>
      <w:r w:rsidR="00574AD5" w:rsidRPr="00574AD5">
        <w:rPr>
          <w:rFonts w:hint="eastAsia"/>
          <w:sz w:val="24"/>
        </w:rPr>
        <w:t>101.9%</w:t>
      </w:r>
      <w:r w:rsidR="00574AD5" w:rsidRPr="00574AD5">
        <w:rPr>
          <w:rFonts w:hint="eastAsia"/>
          <w:sz w:val="24"/>
        </w:rPr>
        <w:t>，符合质控</w:t>
      </w:r>
      <w:r w:rsidR="00574AD5">
        <w:rPr>
          <w:rFonts w:hint="eastAsia"/>
          <w:sz w:val="24"/>
        </w:rPr>
        <w:t>标准</w:t>
      </w:r>
      <w:r w:rsidR="00574AD5" w:rsidRPr="00574AD5">
        <w:rPr>
          <w:rFonts w:hint="eastAsia"/>
          <w:sz w:val="24"/>
        </w:rPr>
        <w:t>GB/T27417-2017</w:t>
      </w:r>
      <w:r w:rsidR="00574AD5" w:rsidRPr="00574AD5">
        <w:rPr>
          <w:rFonts w:hint="eastAsia"/>
          <w:sz w:val="24"/>
        </w:rPr>
        <w:t>方法要求</w:t>
      </w:r>
      <w:r w:rsidR="00574AD5">
        <w:rPr>
          <w:rFonts w:hint="eastAsia"/>
          <w:sz w:val="24"/>
        </w:rPr>
        <w:t>。</w:t>
      </w:r>
    </w:p>
    <w:p w14:paraId="76A8DB84" w14:textId="6961C2D5" w:rsidR="00574AD5" w:rsidRDefault="00574AD5" w:rsidP="00574AD5">
      <w:pPr>
        <w:snapToGrid w:val="0"/>
        <w:spacing w:line="360" w:lineRule="auto"/>
        <w:ind w:firstLineChars="200" w:firstLine="480"/>
        <w:rPr>
          <w:sz w:val="24"/>
        </w:rPr>
      </w:pPr>
      <w:r>
        <w:rPr>
          <w:rFonts w:hint="eastAsia"/>
          <w:sz w:val="24"/>
        </w:rPr>
        <w:t>对氨基酸分析仪方法</w:t>
      </w:r>
      <w:r w:rsidRPr="00B1503C">
        <w:rPr>
          <w:rFonts w:hint="eastAsia"/>
          <w:sz w:val="24"/>
        </w:rPr>
        <w:t>检测羟脯氨酸含量</w:t>
      </w:r>
      <w:r>
        <w:rPr>
          <w:rFonts w:hint="eastAsia"/>
          <w:sz w:val="24"/>
        </w:rPr>
        <w:t>的验证中，选用了</w:t>
      </w:r>
      <w:r w:rsidRPr="00C14233">
        <w:rPr>
          <w:rFonts w:hint="eastAsia"/>
          <w:sz w:val="24"/>
        </w:rPr>
        <w:t>安徽盛美诺生物技术有限公司</w:t>
      </w:r>
      <w:r>
        <w:rPr>
          <w:rFonts w:hint="eastAsia"/>
          <w:sz w:val="24"/>
        </w:rPr>
        <w:t>的</w:t>
      </w:r>
      <w:r w:rsidRPr="00C14233">
        <w:rPr>
          <w:rFonts w:hint="eastAsia"/>
          <w:sz w:val="24"/>
        </w:rPr>
        <w:t>非变性</w:t>
      </w:r>
      <w:r w:rsidRPr="00C14233">
        <w:rPr>
          <w:rFonts w:hint="eastAsia"/>
          <w:sz w:val="24"/>
        </w:rPr>
        <w:t>II</w:t>
      </w:r>
      <w:r w:rsidRPr="00C14233">
        <w:rPr>
          <w:rFonts w:hint="eastAsia"/>
          <w:sz w:val="24"/>
        </w:rPr>
        <w:t>型胶原样品（</w:t>
      </w:r>
      <w:r w:rsidRPr="00574AD5">
        <w:rPr>
          <w:sz w:val="24"/>
        </w:rPr>
        <w:t>20240317F</w:t>
      </w:r>
      <w:r w:rsidRPr="00C14233">
        <w:rPr>
          <w:rFonts w:hint="eastAsia"/>
          <w:sz w:val="24"/>
        </w:rPr>
        <w:t>）</w:t>
      </w:r>
      <w:r>
        <w:rPr>
          <w:rFonts w:hint="eastAsia"/>
          <w:sz w:val="24"/>
        </w:rPr>
        <w:t>、</w:t>
      </w:r>
      <w:r w:rsidRPr="00C14233">
        <w:rPr>
          <w:rFonts w:hint="eastAsia"/>
          <w:sz w:val="24"/>
        </w:rPr>
        <w:t>源叶公司</w:t>
      </w:r>
      <w:r>
        <w:rPr>
          <w:rFonts w:hint="eastAsia"/>
          <w:sz w:val="24"/>
        </w:rPr>
        <w:t>的</w:t>
      </w:r>
      <w:r w:rsidRPr="00C14233">
        <w:rPr>
          <w:rFonts w:hint="eastAsia"/>
          <w:sz w:val="24"/>
        </w:rPr>
        <w:t>L-</w:t>
      </w:r>
      <w:r w:rsidRPr="00C14233">
        <w:rPr>
          <w:rFonts w:hint="eastAsia"/>
          <w:sz w:val="24"/>
        </w:rPr>
        <w:t>羟脯氨酸对照品</w:t>
      </w:r>
      <w:r>
        <w:rPr>
          <w:rFonts w:hint="eastAsia"/>
          <w:sz w:val="24"/>
        </w:rPr>
        <w:t>；对方法的线性范围进行了验证，结果表明选取</w:t>
      </w:r>
      <w:r w:rsidR="00671D96">
        <w:rPr>
          <w:rFonts w:hint="eastAsia"/>
          <w:sz w:val="24"/>
        </w:rPr>
        <w:t>10</w:t>
      </w:r>
      <w:r w:rsidRPr="008E49DE">
        <w:rPr>
          <w:rFonts w:hint="eastAsia"/>
          <w:sz w:val="24"/>
        </w:rPr>
        <w:t>μ</w:t>
      </w:r>
      <w:r w:rsidRPr="008E49DE">
        <w:rPr>
          <w:rFonts w:hint="eastAsia"/>
          <w:sz w:val="24"/>
        </w:rPr>
        <w:t>g/m</w:t>
      </w:r>
      <w:r>
        <w:rPr>
          <w:rFonts w:hint="eastAsia"/>
          <w:sz w:val="24"/>
        </w:rPr>
        <w:t>L</w:t>
      </w:r>
      <w:r w:rsidRPr="008E49DE">
        <w:rPr>
          <w:rFonts w:hint="eastAsia"/>
          <w:sz w:val="24"/>
        </w:rPr>
        <w:t>、</w:t>
      </w:r>
      <w:r w:rsidR="00671D96">
        <w:rPr>
          <w:rFonts w:hint="eastAsia"/>
          <w:sz w:val="24"/>
        </w:rPr>
        <w:t>20</w:t>
      </w:r>
      <w:r w:rsidRPr="008E49DE">
        <w:rPr>
          <w:rFonts w:hint="eastAsia"/>
          <w:sz w:val="24"/>
        </w:rPr>
        <w:t>μ</w:t>
      </w:r>
      <w:r w:rsidRPr="008E49DE">
        <w:rPr>
          <w:rFonts w:hint="eastAsia"/>
          <w:sz w:val="24"/>
        </w:rPr>
        <w:t>g/m</w:t>
      </w:r>
      <w:r>
        <w:rPr>
          <w:rFonts w:hint="eastAsia"/>
          <w:sz w:val="24"/>
        </w:rPr>
        <w:t>L</w:t>
      </w:r>
      <w:r w:rsidRPr="008E49DE">
        <w:rPr>
          <w:rFonts w:hint="eastAsia"/>
          <w:sz w:val="24"/>
        </w:rPr>
        <w:t>、</w:t>
      </w:r>
      <w:r w:rsidR="00671D96">
        <w:rPr>
          <w:rFonts w:hint="eastAsia"/>
          <w:sz w:val="24"/>
        </w:rPr>
        <w:t>40</w:t>
      </w:r>
      <w:r w:rsidRPr="008E49DE">
        <w:rPr>
          <w:rFonts w:hint="eastAsia"/>
          <w:sz w:val="24"/>
        </w:rPr>
        <w:t>μ</w:t>
      </w:r>
      <w:r w:rsidRPr="008E49DE">
        <w:rPr>
          <w:rFonts w:hint="eastAsia"/>
          <w:sz w:val="24"/>
        </w:rPr>
        <w:t>g/m</w:t>
      </w:r>
      <w:r>
        <w:rPr>
          <w:rFonts w:hint="eastAsia"/>
          <w:sz w:val="24"/>
        </w:rPr>
        <w:t>L</w:t>
      </w:r>
      <w:r w:rsidRPr="008E49DE">
        <w:rPr>
          <w:rFonts w:hint="eastAsia"/>
          <w:sz w:val="24"/>
        </w:rPr>
        <w:t>、</w:t>
      </w:r>
      <w:r w:rsidR="00671D96">
        <w:rPr>
          <w:rFonts w:hint="eastAsia"/>
          <w:sz w:val="24"/>
        </w:rPr>
        <w:t>60</w:t>
      </w:r>
      <w:r w:rsidRPr="008E49DE">
        <w:rPr>
          <w:rFonts w:hint="eastAsia"/>
          <w:sz w:val="24"/>
        </w:rPr>
        <w:t>μ</w:t>
      </w:r>
      <w:r w:rsidRPr="008E49DE">
        <w:rPr>
          <w:rFonts w:hint="eastAsia"/>
          <w:sz w:val="24"/>
        </w:rPr>
        <w:t>g/m</w:t>
      </w:r>
      <w:r>
        <w:rPr>
          <w:rFonts w:hint="eastAsia"/>
          <w:sz w:val="24"/>
        </w:rPr>
        <w:t>L</w:t>
      </w:r>
      <w:r w:rsidRPr="008E49DE">
        <w:rPr>
          <w:rFonts w:hint="eastAsia"/>
          <w:sz w:val="24"/>
        </w:rPr>
        <w:t>、</w:t>
      </w:r>
      <w:r w:rsidR="00671D96">
        <w:rPr>
          <w:rFonts w:hint="eastAsia"/>
          <w:sz w:val="24"/>
        </w:rPr>
        <w:t>80</w:t>
      </w:r>
      <w:r w:rsidRPr="008E49DE">
        <w:rPr>
          <w:rFonts w:hint="eastAsia"/>
          <w:sz w:val="24"/>
        </w:rPr>
        <w:t>μ</w:t>
      </w:r>
      <w:r w:rsidRPr="008E49DE">
        <w:rPr>
          <w:rFonts w:hint="eastAsia"/>
          <w:sz w:val="24"/>
        </w:rPr>
        <w:t>g/</w:t>
      </w:r>
      <w:r>
        <w:rPr>
          <w:rFonts w:hint="eastAsia"/>
          <w:sz w:val="24"/>
        </w:rPr>
        <w:t>mL5</w:t>
      </w:r>
      <w:r>
        <w:rPr>
          <w:rFonts w:hint="eastAsia"/>
          <w:sz w:val="24"/>
        </w:rPr>
        <w:t>个点，在</w:t>
      </w:r>
      <w:r w:rsidRPr="008E49DE">
        <w:rPr>
          <w:rFonts w:hint="eastAsia"/>
          <w:sz w:val="24"/>
        </w:rPr>
        <w:t>L-</w:t>
      </w:r>
      <w:r w:rsidRPr="008E49DE">
        <w:rPr>
          <w:rFonts w:hint="eastAsia"/>
          <w:sz w:val="24"/>
        </w:rPr>
        <w:t>羟脯氨酸浓度为</w:t>
      </w:r>
      <w:r w:rsidR="00671D96">
        <w:rPr>
          <w:rFonts w:hint="eastAsia"/>
          <w:sz w:val="24"/>
        </w:rPr>
        <w:t>10</w:t>
      </w:r>
      <w:r w:rsidRPr="008E49DE">
        <w:rPr>
          <w:rFonts w:hint="eastAsia"/>
          <w:sz w:val="24"/>
        </w:rPr>
        <w:t>μ</w:t>
      </w:r>
      <w:r w:rsidRPr="008E49DE">
        <w:rPr>
          <w:rFonts w:hint="eastAsia"/>
          <w:sz w:val="24"/>
        </w:rPr>
        <w:t>g/ml ~</w:t>
      </w:r>
      <w:r w:rsidR="00671D96">
        <w:rPr>
          <w:rFonts w:hint="eastAsia"/>
          <w:sz w:val="24"/>
        </w:rPr>
        <w:t>80</w:t>
      </w:r>
      <w:r w:rsidRPr="008E49DE">
        <w:rPr>
          <w:rFonts w:hint="eastAsia"/>
          <w:sz w:val="24"/>
        </w:rPr>
        <w:t>μ</w:t>
      </w:r>
      <w:r w:rsidRPr="008E49DE">
        <w:rPr>
          <w:rFonts w:hint="eastAsia"/>
          <w:sz w:val="24"/>
        </w:rPr>
        <w:t>g/ml</w:t>
      </w:r>
      <w:r>
        <w:rPr>
          <w:rFonts w:hint="eastAsia"/>
          <w:sz w:val="24"/>
        </w:rPr>
        <w:t>的范围内峰面积呈线性</w:t>
      </w:r>
      <w:r w:rsidR="00671D96">
        <w:rPr>
          <w:rFonts w:hint="eastAsia"/>
          <w:sz w:val="24"/>
        </w:rPr>
        <w:t>，</w:t>
      </w:r>
      <w:r w:rsidR="00671D96">
        <w:rPr>
          <w:rFonts w:hint="eastAsia"/>
          <w:sz w:val="24"/>
        </w:rPr>
        <w:t>R=0.9999</w:t>
      </w:r>
      <w:r>
        <w:rPr>
          <w:rFonts w:hint="eastAsia"/>
          <w:sz w:val="24"/>
        </w:rPr>
        <w:t>；对方法检出限和定量限进行验证，结果为</w:t>
      </w:r>
      <w:r w:rsidRPr="008E49DE">
        <w:rPr>
          <w:rFonts w:hint="eastAsia"/>
          <w:sz w:val="24"/>
        </w:rPr>
        <w:t>检出限</w:t>
      </w:r>
      <w:r>
        <w:rPr>
          <w:rFonts w:hint="eastAsia"/>
          <w:sz w:val="24"/>
        </w:rPr>
        <w:t>是</w:t>
      </w:r>
      <w:r w:rsidR="00671D96">
        <w:rPr>
          <w:rFonts w:hint="eastAsia"/>
          <w:sz w:val="24"/>
        </w:rPr>
        <w:t>0.39</w:t>
      </w:r>
      <w:r w:rsidRPr="008E49DE">
        <w:rPr>
          <w:rFonts w:hint="eastAsia"/>
          <w:sz w:val="24"/>
        </w:rPr>
        <w:t>μ</w:t>
      </w:r>
      <w:r w:rsidRPr="008E49DE">
        <w:rPr>
          <w:rFonts w:hint="eastAsia"/>
          <w:sz w:val="24"/>
        </w:rPr>
        <w:t>g/ml (</w:t>
      </w:r>
      <w:r w:rsidRPr="008E49DE">
        <w:rPr>
          <w:rFonts w:hint="eastAsia"/>
          <w:sz w:val="24"/>
        </w:rPr>
        <w:t>试剂空白、</w:t>
      </w:r>
      <w:r w:rsidRPr="008E49DE">
        <w:rPr>
          <w:rFonts w:hint="eastAsia"/>
          <w:sz w:val="24"/>
        </w:rPr>
        <w:t>3</w:t>
      </w:r>
      <w:r w:rsidRPr="008E49DE">
        <w:rPr>
          <w:rFonts w:hint="eastAsia"/>
          <w:sz w:val="24"/>
        </w:rPr>
        <w:t>倍信噪比</w:t>
      </w:r>
      <w:r w:rsidRPr="008E49DE">
        <w:rPr>
          <w:rFonts w:hint="eastAsia"/>
          <w:sz w:val="24"/>
        </w:rPr>
        <w:t>)</w:t>
      </w:r>
      <w:r>
        <w:rPr>
          <w:rFonts w:hint="eastAsia"/>
          <w:sz w:val="24"/>
        </w:rPr>
        <w:t>，</w:t>
      </w:r>
      <w:r w:rsidR="00671D96" w:rsidRPr="00671D96">
        <w:rPr>
          <w:rFonts w:hint="eastAsia"/>
          <w:sz w:val="24"/>
        </w:rPr>
        <w:t>相当于固体样品中羟脯氨酸含量为</w:t>
      </w:r>
      <w:r w:rsidR="00671D96" w:rsidRPr="00671D96">
        <w:rPr>
          <w:rFonts w:hint="eastAsia"/>
          <w:sz w:val="24"/>
        </w:rPr>
        <w:t>1.95 mg/g</w:t>
      </w:r>
      <w:r w:rsidR="00671D96">
        <w:rPr>
          <w:rFonts w:hint="eastAsia"/>
          <w:sz w:val="24"/>
        </w:rPr>
        <w:t>,</w:t>
      </w:r>
      <w:r w:rsidRPr="008E49DE">
        <w:rPr>
          <w:rFonts w:hint="eastAsia"/>
          <w:sz w:val="24"/>
        </w:rPr>
        <w:t>定量限</w:t>
      </w:r>
      <w:r>
        <w:rPr>
          <w:rFonts w:hint="eastAsia"/>
          <w:sz w:val="24"/>
        </w:rPr>
        <w:t>是</w:t>
      </w:r>
      <w:r w:rsidR="00671D96">
        <w:rPr>
          <w:rFonts w:hint="eastAsia"/>
          <w:sz w:val="24"/>
        </w:rPr>
        <w:t>1.56</w:t>
      </w:r>
      <w:r w:rsidRPr="008E49DE">
        <w:rPr>
          <w:rFonts w:hint="eastAsia"/>
          <w:sz w:val="24"/>
        </w:rPr>
        <w:t>μ</w:t>
      </w:r>
      <w:r w:rsidRPr="008E49DE">
        <w:rPr>
          <w:rFonts w:hint="eastAsia"/>
          <w:sz w:val="24"/>
        </w:rPr>
        <w:t>g/ml (</w:t>
      </w:r>
      <w:r w:rsidRPr="008E49DE">
        <w:rPr>
          <w:rFonts w:hint="eastAsia"/>
          <w:sz w:val="24"/>
        </w:rPr>
        <w:t>样品空白、</w:t>
      </w:r>
      <w:r w:rsidRPr="008E49DE">
        <w:rPr>
          <w:rFonts w:hint="eastAsia"/>
          <w:sz w:val="24"/>
        </w:rPr>
        <w:t>10</w:t>
      </w:r>
      <w:r w:rsidRPr="008E49DE">
        <w:rPr>
          <w:rFonts w:hint="eastAsia"/>
          <w:sz w:val="24"/>
        </w:rPr>
        <w:t>倍信噪比</w:t>
      </w:r>
      <w:r w:rsidRPr="008E49DE">
        <w:rPr>
          <w:rFonts w:hint="eastAsia"/>
          <w:sz w:val="24"/>
        </w:rPr>
        <w:t>)</w:t>
      </w:r>
      <w:r w:rsidR="00671D96">
        <w:rPr>
          <w:rFonts w:hint="eastAsia"/>
          <w:sz w:val="24"/>
        </w:rPr>
        <w:t>,</w:t>
      </w:r>
      <w:r w:rsidR="00671D96" w:rsidRPr="00671D96">
        <w:rPr>
          <w:rFonts w:hint="eastAsia"/>
        </w:rPr>
        <w:t xml:space="preserve"> </w:t>
      </w:r>
      <w:r w:rsidR="00671D96" w:rsidRPr="00671D96">
        <w:rPr>
          <w:rFonts w:hint="eastAsia"/>
          <w:sz w:val="24"/>
        </w:rPr>
        <w:t>相当于固体样品中羟脯氨酸含量为</w:t>
      </w:r>
      <w:r w:rsidR="00671D96" w:rsidRPr="00671D96">
        <w:rPr>
          <w:rFonts w:hint="eastAsia"/>
          <w:sz w:val="24"/>
        </w:rPr>
        <w:t>7.8 mg/g</w:t>
      </w:r>
      <w:r>
        <w:rPr>
          <w:rFonts w:hint="eastAsia"/>
          <w:sz w:val="24"/>
        </w:rPr>
        <w:t>；</w:t>
      </w:r>
      <w:r w:rsidRPr="008E49DE">
        <w:rPr>
          <w:rFonts w:hint="eastAsia"/>
          <w:sz w:val="24"/>
        </w:rPr>
        <w:t>依照</w:t>
      </w:r>
      <w:r w:rsidRPr="008E49DE">
        <w:rPr>
          <w:rFonts w:hint="eastAsia"/>
          <w:sz w:val="24"/>
        </w:rPr>
        <w:t>GB/T27417-2017</w:t>
      </w:r>
      <w:r>
        <w:rPr>
          <w:rFonts w:hint="eastAsia"/>
          <w:sz w:val="24"/>
        </w:rPr>
        <w:t>《</w:t>
      </w:r>
      <w:r w:rsidRPr="008E49DE">
        <w:rPr>
          <w:rFonts w:hint="eastAsia"/>
          <w:sz w:val="24"/>
        </w:rPr>
        <w:t>合格评定</w:t>
      </w:r>
      <w:r w:rsidRPr="008E49DE">
        <w:rPr>
          <w:rFonts w:hint="eastAsia"/>
          <w:sz w:val="24"/>
        </w:rPr>
        <w:t xml:space="preserve"> </w:t>
      </w:r>
      <w:r w:rsidRPr="008E49DE">
        <w:rPr>
          <w:rFonts w:hint="eastAsia"/>
          <w:sz w:val="24"/>
        </w:rPr>
        <w:t>化学分析方法确认和验证指南</w:t>
      </w:r>
      <w:r>
        <w:rPr>
          <w:rFonts w:hint="eastAsia"/>
          <w:sz w:val="24"/>
        </w:rPr>
        <w:t>》，对</w:t>
      </w:r>
      <w:r w:rsidRPr="008E49DE">
        <w:rPr>
          <w:rFonts w:hint="eastAsia"/>
          <w:sz w:val="24"/>
        </w:rPr>
        <w:t>仪器重复性</w:t>
      </w:r>
      <w:r>
        <w:rPr>
          <w:rFonts w:hint="eastAsia"/>
          <w:sz w:val="24"/>
        </w:rPr>
        <w:t>进行了测定，</w:t>
      </w:r>
      <w:r w:rsidRPr="00574AD5">
        <w:rPr>
          <w:rFonts w:hint="eastAsia"/>
          <w:sz w:val="24"/>
        </w:rPr>
        <w:t>取</w:t>
      </w:r>
      <w:r w:rsidRPr="00574AD5">
        <w:rPr>
          <w:rFonts w:hint="eastAsia"/>
          <w:sz w:val="24"/>
        </w:rPr>
        <w:t>2</w:t>
      </w:r>
      <w:r w:rsidR="00671D96">
        <w:rPr>
          <w:rFonts w:hint="eastAsia"/>
          <w:sz w:val="24"/>
        </w:rPr>
        <w:t>0</w:t>
      </w:r>
      <w:r w:rsidRPr="00574AD5">
        <w:rPr>
          <w:rFonts w:hint="eastAsia"/>
          <w:sz w:val="24"/>
        </w:rPr>
        <w:t>mg/L</w:t>
      </w:r>
      <w:r w:rsidRPr="00574AD5">
        <w:rPr>
          <w:rFonts w:hint="eastAsia"/>
          <w:sz w:val="24"/>
        </w:rPr>
        <w:t>标品，做</w:t>
      </w:r>
      <w:r w:rsidRPr="00574AD5">
        <w:rPr>
          <w:rFonts w:hint="eastAsia"/>
          <w:sz w:val="24"/>
        </w:rPr>
        <w:t>6</w:t>
      </w:r>
      <w:r w:rsidRPr="00574AD5">
        <w:rPr>
          <w:rFonts w:hint="eastAsia"/>
          <w:sz w:val="24"/>
        </w:rPr>
        <w:t>个平行，计算标准偏差，</w:t>
      </w:r>
      <w:r>
        <w:rPr>
          <w:rFonts w:hint="eastAsia"/>
          <w:sz w:val="24"/>
        </w:rPr>
        <w:t>结果表明</w:t>
      </w:r>
      <w:r w:rsidRPr="008E49DE">
        <w:rPr>
          <w:rFonts w:hint="eastAsia"/>
          <w:sz w:val="24"/>
        </w:rPr>
        <w:t>相对标准偏差为</w:t>
      </w:r>
      <w:r w:rsidR="00671D96">
        <w:rPr>
          <w:rFonts w:hint="eastAsia"/>
          <w:sz w:val="24"/>
        </w:rPr>
        <w:t>0.28</w:t>
      </w:r>
      <w:r w:rsidRPr="008E49DE">
        <w:rPr>
          <w:rFonts w:hint="eastAsia"/>
          <w:sz w:val="24"/>
        </w:rPr>
        <w:t>%</w:t>
      </w:r>
      <w:r w:rsidRPr="008E49DE">
        <w:rPr>
          <w:rFonts w:hint="eastAsia"/>
          <w:sz w:val="24"/>
        </w:rPr>
        <w:t>，满足方法要求</w:t>
      </w:r>
      <w:r>
        <w:rPr>
          <w:rFonts w:hint="eastAsia"/>
          <w:sz w:val="24"/>
        </w:rPr>
        <w:t>；</w:t>
      </w:r>
      <w:r w:rsidRPr="00574AD5">
        <w:rPr>
          <w:rFonts w:hint="eastAsia"/>
          <w:sz w:val="24"/>
        </w:rPr>
        <w:t>依照</w:t>
      </w:r>
      <w:r w:rsidRPr="00574AD5">
        <w:rPr>
          <w:rFonts w:hint="eastAsia"/>
          <w:sz w:val="24"/>
        </w:rPr>
        <w:t>GB/T27417-2017</w:t>
      </w:r>
      <w:r>
        <w:rPr>
          <w:rFonts w:hint="eastAsia"/>
          <w:sz w:val="24"/>
        </w:rPr>
        <w:t>《</w:t>
      </w:r>
      <w:r w:rsidRPr="00574AD5">
        <w:rPr>
          <w:rFonts w:hint="eastAsia"/>
          <w:sz w:val="24"/>
        </w:rPr>
        <w:t>合格评定</w:t>
      </w:r>
      <w:r w:rsidRPr="00574AD5">
        <w:rPr>
          <w:rFonts w:hint="eastAsia"/>
          <w:sz w:val="24"/>
        </w:rPr>
        <w:t xml:space="preserve"> </w:t>
      </w:r>
      <w:r w:rsidRPr="00574AD5">
        <w:rPr>
          <w:rFonts w:hint="eastAsia"/>
          <w:sz w:val="24"/>
        </w:rPr>
        <w:t>化学分析方法确认和验证指南</w:t>
      </w:r>
      <w:r>
        <w:rPr>
          <w:rFonts w:hint="eastAsia"/>
          <w:sz w:val="24"/>
        </w:rPr>
        <w:t>》</w:t>
      </w:r>
      <w:r w:rsidRPr="00574AD5">
        <w:rPr>
          <w:rFonts w:hint="eastAsia"/>
          <w:sz w:val="24"/>
        </w:rPr>
        <w:t>，</w:t>
      </w:r>
      <w:r>
        <w:rPr>
          <w:rFonts w:hint="eastAsia"/>
          <w:sz w:val="24"/>
        </w:rPr>
        <w:t>对</w:t>
      </w:r>
      <w:r w:rsidRPr="00574AD5">
        <w:rPr>
          <w:rFonts w:hint="eastAsia"/>
          <w:sz w:val="24"/>
        </w:rPr>
        <w:t>精密度</w:t>
      </w:r>
      <w:r>
        <w:rPr>
          <w:rFonts w:hint="eastAsia"/>
          <w:sz w:val="24"/>
        </w:rPr>
        <w:t>进行了</w:t>
      </w:r>
      <w:r>
        <w:rPr>
          <w:rFonts w:hint="eastAsia"/>
          <w:sz w:val="24"/>
        </w:rPr>
        <w:lastRenderedPageBreak/>
        <w:t>测定</w:t>
      </w:r>
      <w:r w:rsidRPr="00574AD5">
        <w:rPr>
          <w:rFonts w:hint="eastAsia"/>
          <w:sz w:val="24"/>
        </w:rPr>
        <w:t>。取盛美诺</w:t>
      </w:r>
      <w:r w:rsidR="00671D96" w:rsidRPr="00671D96">
        <w:rPr>
          <w:sz w:val="24"/>
        </w:rPr>
        <w:t>20240317F</w:t>
      </w:r>
      <w:r w:rsidRPr="00574AD5">
        <w:rPr>
          <w:rFonts w:hint="eastAsia"/>
          <w:sz w:val="24"/>
        </w:rPr>
        <w:t>样品，按方法独立测定</w:t>
      </w:r>
      <w:r w:rsidRPr="00574AD5">
        <w:rPr>
          <w:rFonts w:hint="eastAsia"/>
          <w:sz w:val="24"/>
        </w:rPr>
        <w:t>6</w:t>
      </w:r>
      <w:r w:rsidRPr="00574AD5">
        <w:rPr>
          <w:rFonts w:hint="eastAsia"/>
          <w:sz w:val="24"/>
        </w:rPr>
        <w:t>次，计算标准偏差，</w:t>
      </w:r>
      <w:r>
        <w:rPr>
          <w:rFonts w:hint="eastAsia"/>
          <w:sz w:val="24"/>
        </w:rPr>
        <w:t>结果表明</w:t>
      </w:r>
      <w:r w:rsidRPr="00574AD5">
        <w:rPr>
          <w:rFonts w:hint="eastAsia"/>
          <w:sz w:val="24"/>
        </w:rPr>
        <w:t>相对标准偏差为</w:t>
      </w:r>
      <w:r w:rsidR="00671D96">
        <w:rPr>
          <w:rFonts w:hint="eastAsia"/>
          <w:sz w:val="24"/>
        </w:rPr>
        <w:t>2.79</w:t>
      </w:r>
      <w:r w:rsidRPr="00574AD5">
        <w:rPr>
          <w:rFonts w:hint="eastAsia"/>
          <w:sz w:val="24"/>
        </w:rPr>
        <w:t>%</w:t>
      </w:r>
      <w:r w:rsidRPr="00574AD5">
        <w:rPr>
          <w:rFonts w:hint="eastAsia"/>
          <w:sz w:val="24"/>
        </w:rPr>
        <w:t>，符合方法要求</w:t>
      </w:r>
      <w:r>
        <w:rPr>
          <w:rFonts w:hint="eastAsia"/>
          <w:sz w:val="24"/>
        </w:rPr>
        <w:t>；</w:t>
      </w:r>
      <w:r w:rsidRPr="00574AD5">
        <w:rPr>
          <w:rFonts w:hint="eastAsia"/>
          <w:sz w:val="24"/>
        </w:rPr>
        <w:t>采用加标回收的方法</w:t>
      </w:r>
      <w:r>
        <w:rPr>
          <w:rFonts w:hint="eastAsia"/>
          <w:sz w:val="24"/>
        </w:rPr>
        <w:t>对准确度进行测定</w:t>
      </w:r>
      <w:r w:rsidRPr="00574AD5">
        <w:rPr>
          <w:rFonts w:hint="eastAsia"/>
          <w:sz w:val="24"/>
        </w:rPr>
        <w:t>，取盛美诺</w:t>
      </w:r>
      <w:r w:rsidR="000E7AC5" w:rsidRPr="000E7AC5">
        <w:rPr>
          <w:sz w:val="24"/>
        </w:rPr>
        <w:t>20240317F</w:t>
      </w:r>
      <w:r w:rsidRPr="00574AD5">
        <w:rPr>
          <w:rFonts w:hint="eastAsia"/>
          <w:sz w:val="24"/>
        </w:rPr>
        <w:t>样品分别加标</w:t>
      </w:r>
      <w:r w:rsidRPr="00574AD5">
        <w:rPr>
          <w:rFonts w:hint="eastAsia"/>
          <w:sz w:val="24"/>
        </w:rPr>
        <w:t>L-</w:t>
      </w:r>
      <w:r w:rsidRPr="00574AD5">
        <w:rPr>
          <w:rFonts w:hint="eastAsia"/>
          <w:sz w:val="24"/>
        </w:rPr>
        <w:t>羟脯氨酸标准物质</w:t>
      </w:r>
      <w:r w:rsidR="000E7AC5">
        <w:rPr>
          <w:rFonts w:hint="eastAsia"/>
          <w:sz w:val="24"/>
        </w:rPr>
        <w:t>0.5</w:t>
      </w:r>
      <w:r w:rsidRPr="00574AD5">
        <w:rPr>
          <w:rFonts w:hint="eastAsia"/>
          <w:sz w:val="24"/>
        </w:rPr>
        <w:t>mg</w:t>
      </w:r>
      <w:r w:rsidRPr="00574AD5">
        <w:rPr>
          <w:rFonts w:hint="eastAsia"/>
          <w:sz w:val="24"/>
        </w:rPr>
        <w:t>、</w:t>
      </w:r>
      <w:r w:rsidR="000E7AC5">
        <w:rPr>
          <w:rFonts w:hint="eastAsia"/>
          <w:sz w:val="24"/>
        </w:rPr>
        <w:t>2.0</w:t>
      </w:r>
      <w:r w:rsidRPr="00574AD5">
        <w:rPr>
          <w:rFonts w:hint="eastAsia"/>
          <w:sz w:val="24"/>
        </w:rPr>
        <w:t>mg</w:t>
      </w:r>
      <w:r w:rsidRPr="00574AD5">
        <w:rPr>
          <w:rFonts w:hint="eastAsia"/>
          <w:sz w:val="24"/>
        </w:rPr>
        <w:t>，分别做</w:t>
      </w:r>
      <w:r w:rsidRPr="00574AD5">
        <w:rPr>
          <w:rFonts w:hint="eastAsia"/>
          <w:sz w:val="24"/>
        </w:rPr>
        <w:t>6</w:t>
      </w:r>
      <w:r w:rsidRPr="00574AD5">
        <w:rPr>
          <w:rFonts w:hint="eastAsia"/>
          <w:sz w:val="24"/>
        </w:rPr>
        <w:t>个平行，计算结果、测定回收率</w:t>
      </w:r>
      <w:r>
        <w:rPr>
          <w:rFonts w:hint="eastAsia"/>
          <w:sz w:val="24"/>
        </w:rPr>
        <w:t>，结果表明</w:t>
      </w:r>
      <w:r w:rsidRPr="00574AD5">
        <w:rPr>
          <w:rFonts w:hint="eastAsia"/>
          <w:sz w:val="24"/>
        </w:rPr>
        <w:t>加标实验数据回收率分别为</w:t>
      </w:r>
      <w:r w:rsidR="000E7AC5">
        <w:rPr>
          <w:rFonts w:hint="eastAsia"/>
          <w:sz w:val="24"/>
        </w:rPr>
        <w:t>102</w:t>
      </w:r>
      <w:r w:rsidRPr="00574AD5">
        <w:rPr>
          <w:rFonts w:hint="eastAsia"/>
          <w:sz w:val="24"/>
        </w:rPr>
        <w:t>%</w:t>
      </w:r>
      <w:r w:rsidRPr="00574AD5">
        <w:rPr>
          <w:rFonts w:hint="eastAsia"/>
          <w:sz w:val="24"/>
        </w:rPr>
        <w:t>、</w:t>
      </w:r>
      <w:r w:rsidR="000E7AC5">
        <w:rPr>
          <w:rFonts w:hint="eastAsia"/>
          <w:sz w:val="24"/>
        </w:rPr>
        <w:t>100</w:t>
      </w:r>
      <w:r w:rsidRPr="00574AD5">
        <w:rPr>
          <w:rFonts w:hint="eastAsia"/>
          <w:sz w:val="24"/>
        </w:rPr>
        <w:t>%</w:t>
      </w:r>
      <w:r w:rsidRPr="00574AD5">
        <w:rPr>
          <w:rFonts w:hint="eastAsia"/>
          <w:sz w:val="24"/>
        </w:rPr>
        <w:t>，符合质控</w:t>
      </w:r>
      <w:r>
        <w:rPr>
          <w:rFonts w:hint="eastAsia"/>
          <w:sz w:val="24"/>
        </w:rPr>
        <w:t>标准</w:t>
      </w:r>
      <w:r w:rsidRPr="00574AD5">
        <w:rPr>
          <w:rFonts w:hint="eastAsia"/>
          <w:sz w:val="24"/>
        </w:rPr>
        <w:t>GB/T27417-2017</w:t>
      </w:r>
      <w:r w:rsidRPr="00574AD5">
        <w:rPr>
          <w:rFonts w:hint="eastAsia"/>
          <w:sz w:val="24"/>
        </w:rPr>
        <w:t>方法要求</w:t>
      </w:r>
      <w:r>
        <w:rPr>
          <w:rFonts w:hint="eastAsia"/>
          <w:sz w:val="24"/>
        </w:rPr>
        <w:t>。</w:t>
      </w:r>
    </w:p>
    <w:p w14:paraId="029504DA" w14:textId="384CD434" w:rsidR="001A5BBE" w:rsidRDefault="001A5BBE" w:rsidP="001A5BBE">
      <w:pPr>
        <w:snapToGrid w:val="0"/>
        <w:spacing w:line="360" w:lineRule="auto"/>
        <w:ind w:firstLineChars="200" w:firstLine="480"/>
        <w:rPr>
          <w:sz w:val="24"/>
        </w:rPr>
      </w:pPr>
      <w:r>
        <w:rPr>
          <w:rFonts w:hint="eastAsia"/>
          <w:sz w:val="24"/>
        </w:rPr>
        <w:t>还对上述两种方法进行了</w:t>
      </w:r>
      <w:r>
        <w:rPr>
          <w:rFonts w:hint="eastAsia"/>
          <w:sz w:val="24"/>
        </w:rPr>
        <w:t>F</w:t>
      </w:r>
      <w:r>
        <w:rPr>
          <w:rFonts w:hint="eastAsia"/>
          <w:sz w:val="24"/>
        </w:rPr>
        <w:t>检验和</w:t>
      </w:r>
      <w:r>
        <w:rPr>
          <w:rFonts w:hint="eastAsia"/>
          <w:sz w:val="24"/>
        </w:rPr>
        <w:t>T</w:t>
      </w:r>
      <w:r>
        <w:rPr>
          <w:rFonts w:hint="eastAsia"/>
          <w:sz w:val="24"/>
        </w:rPr>
        <w:t>检验，并对标准品进行了检测</w:t>
      </w:r>
      <w:r w:rsidRPr="000A413E">
        <w:rPr>
          <w:rFonts w:hint="eastAsia"/>
          <w:sz w:val="24"/>
        </w:rPr>
        <w:t>。</w:t>
      </w:r>
      <w:r>
        <w:rPr>
          <w:rFonts w:hint="eastAsia"/>
          <w:sz w:val="24"/>
        </w:rPr>
        <w:t>在</w:t>
      </w:r>
      <w:r>
        <w:rPr>
          <w:rFonts w:hint="eastAsia"/>
          <w:sz w:val="24"/>
        </w:rPr>
        <w:t>F</w:t>
      </w:r>
      <w:r>
        <w:rPr>
          <w:rFonts w:hint="eastAsia"/>
          <w:sz w:val="24"/>
        </w:rPr>
        <w:t>检验中，</w:t>
      </w:r>
      <w:r w:rsidRPr="001A5BBE">
        <w:rPr>
          <w:rFonts w:hint="eastAsia"/>
          <w:sz w:val="24"/>
        </w:rPr>
        <w:t>取</w:t>
      </w:r>
      <w:r w:rsidRPr="001A5BBE">
        <w:rPr>
          <w:rFonts w:hint="eastAsia"/>
          <w:sz w:val="24"/>
        </w:rPr>
        <w:t>20240411F</w:t>
      </w:r>
      <w:r w:rsidRPr="001A5BBE">
        <w:rPr>
          <w:rFonts w:hint="eastAsia"/>
          <w:sz w:val="24"/>
        </w:rPr>
        <w:t>批次非变性样品进行前处理酶解，自由度：</w:t>
      </w:r>
      <w:r w:rsidRPr="001A5BBE">
        <w:rPr>
          <w:rFonts w:hint="eastAsia"/>
          <w:sz w:val="24"/>
        </w:rPr>
        <w:t>1</w:t>
      </w:r>
      <w:r w:rsidRPr="001A5BBE">
        <w:rPr>
          <w:rFonts w:hint="eastAsia"/>
          <w:sz w:val="24"/>
        </w:rPr>
        <w:t>，水解冷却定容后分别取</w:t>
      </w:r>
      <w:r w:rsidRPr="001A5BBE">
        <w:rPr>
          <w:rFonts w:hint="eastAsia"/>
          <w:sz w:val="24"/>
        </w:rPr>
        <w:t>2ml</w:t>
      </w:r>
      <w:r w:rsidRPr="001A5BBE">
        <w:rPr>
          <w:rFonts w:hint="eastAsia"/>
          <w:sz w:val="24"/>
        </w:rPr>
        <w:t>蒸干，</w:t>
      </w:r>
      <w:r w:rsidRPr="001A5BBE">
        <w:rPr>
          <w:rFonts w:hint="eastAsia"/>
          <w:sz w:val="24"/>
        </w:rPr>
        <w:t>2ml</w:t>
      </w:r>
      <w:r w:rsidRPr="001A5BBE">
        <w:rPr>
          <w:rFonts w:hint="eastAsia"/>
          <w:sz w:val="24"/>
        </w:rPr>
        <w:t>复溶，分别用氨基酸分析仪法和液相色谱衍生发测定</w:t>
      </w:r>
      <w:r w:rsidRPr="001A5BBE">
        <w:rPr>
          <w:rFonts w:hint="eastAsia"/>
          <w:sz w:val="24"/>
        </w:rPr>
        <w:t>6</w:t>
      </w:r>
      <w:r w:rsidRPr="001A5BBE">
        <w:rPr>
          <w:rFonts w:hint="eastAsia"/>
          <w:sz w:val="24"/>
        </w:rPr>
        <w:t>次，参照</w:t>
      </w:r>
      <w:r w:rsidRPr="001A5BBE">
        <w:rPr>
          <w:rFonts w:hint="eastAsia"/>
          <w:sz w:val="24"/>
        </w:rPr>
        <w:t xml:space="preserve">RB/T 208-2016 </w:t>
      </w:r>
      <w:r w:rsidRPr="001A5BBE">
        <w:rPr>
          <w:rFonts w:hint="eastAsia"/>
          <w:sz w:val="24"/>
        </w:rPr>
        <w:t>《化学实验室质量对比</w:t>
      </w:r>
      <w:r w:rsidRPr="001A5BBE">
        <w:rPr>
          <w:rFonts w:hint="eastAsia"/>
          <w:sz w:val="24"/>
        </w:rPr>
        <w:t xml:space="preserve"> </w:t>
      </w:r>
      <w:r w:rsidRPr="001A5BBE">
        <w:rPr>
          <w:rFonts w:hint="eastAsia"/>
          <w:sz w:val="24"/>
        </w:rPr>
        <w:t>比对实验》中对比试验结果评价。经计算，并查</w:t>
      </w:r>
      <w:r w:rsidRPr="001A5BBE">
        <w:rPr>
          <w:rFonts w:hint="eastAsia"/>
          <w:sz w:val="24"/>
        </w:rPr>
        <w:t>F</w:t>
      </w:r>
      <w:r w:rsidRPr="001A5BBE">
        <w:rPr>
          <w:rFonts w:hint="eastAsia"/>
          <w:sz w:val="24"/>
        </w:rPr>
        <w:t>临界值表，得</w:t>
      </w:r>
      <w:r w:rsidRPr="001A5BBE">
        <w:rPr>
          <w:rFonts w:hint="eastAsia"/>
          <w:sz w:val="24"/>
        </w:rPr>
        <w:t>F0.05(1,5)=6.61</w:t>
      </w:r>
      <w:r w:rsidRPr="001A5BBE">
        <w:rPr>
          <w:rFonts w:hint="eastAsia"/>
          <w:sz w:val="24"/>
        </w:rPr>
        <w:t>，由于</w:t>
      </w:r>
      <w:r w:rsidRPr="001A5BBE">
        <w:rPr>
          <w:rFonts w:hint="eastAsia"/>
          <w:sz w:val="24"/>
        </w:rPr>
        <w:t>F=S_</w:t>
      </w:r>
      <w:r w:rsidRPr="001A5BBE">
        <w:rPr>
          <w:rFonts w:hint="eastAsia"/>
          <w:sz w:val="24"/>
        </w:rPr>
        <w:t>大</w:t>
      </w:r>
      <w:r w:rsidRPr="001A5BBE">
        <w:rPr>
          <w:rFonts w:hint="eastAsia"/>
          <w:sz w:val="24"/>
        </w:rPr>
        <w:t>^2/S_</w:t>
      </w:r>
      <w:r w:rsidRPr="001A5BBE">
        <w:rPr>
          <w:rFonts w:hint="eastAsia"/>
          <w:sz w:val="24"/>
        </w:rPr>
        <w:t>小</w:t>
      </w:r>
      <w:r w:rsidRPr="001A5BBE">
        <w:rPr>
          <w:rFonts w:hint="eastAsia"/>
          <w:sz w:val="24"/>
        </w:rPr>
        <w:t>^2 =1.213</w:t>
      </w:r>
      <w:r w:rsidRPr="001A5BBE">
        <w:rPr>
          <w:rFonts w:hint="eastAsia"/>
          <w:sz w:val="24"/>
        </w:rPr>
        <w:t>＜</w:t>
      </w:r>
      <w:r w:rsidRPr="001A5BBE">
        <w:rPr>
          <w:rFonts w:hint="eastAsia"/>
          <w:sz w:val="24"/>
        </w:rPr>
        <w:t>F0.05(1,5)=6.61</w:t>
      </w:r>
      <w:r w:rsidRPr="001A5BBE">
        <w:rPr>
          <w:rFonts w:hint="eastAsia"/>
          <w:sz w:val="24"/>
        </w:rPr>
        <w:t>，两种结果无显著差别</w:t>
      </w:r>
      <w:r>
        <w:rPr>
          <w:rFonts w:hint="eastAsia"/>
          <w:sz w:val="24"/>
        </w:rPr>
        <w:t>。在</w:t>
      </w:r>
      <w:r>
        <w:rPr>
          <w:rFonts w:hint="eastAsia"/>
          <w:sz w:val="24"/>
        </w:rPr>
        <w:t>T</w:t>
      </w:r>
      <w:r>
        <w:rPr>
          <w:rFonts w:hint="eastAsia"/>
          <w:sz w:val="24"/>
        </w:rPr>
        <w:t>检验中，</w:t>
      </w:r>
      <w:r w:rsidRPr="001A5BBE">
        <w:rPr>
          <w:rFonts w:hint="eastAsia"/>
          <w:sz w:val="24"/>
        </w:rPr>
        <w:t>自由度为</w:t>
      </w:r>
      <w:r w:rsidRPr="001A5BBE">
        <w:rPr>
          <w:rFonts w:hint="eastAsia"/>
          <w:sz w:val="24"/>
        </w:rPr>
        <w:t>10</w:t>
      </w:r>
      <w:r w:rsidRPr="001A5BBE">
        <w:rPr>
          <w:rFonts w:hint="eastAsia"/>
          <w:sz w:val="24"/>
        </w:rPr>
        <w:t>，显著性水平为</w:t>
      </w:r>
      <w:r w:rsidRPr="001A5BBE">
        <w:rPr>
          <w:rFonts w:hint="eastAsia"/>
          <w:sz w:val="24"/>
        </w:rPr>
        <w:t>0.05</w:t>
      </w:r>
      <w:r w:rsidRPr="001A5BBE">
        <w:rPr>
          <w:rFonts w:hint="eastAsia"/>
          <w:sz w:val="24"/>
        </w:rPr>
        <w:t>时，在表中找到对应的</w:t>
      </w:r>
      <w:r w:rsidRPr="001A5BBE">
        <w:rPr>
          <w:rFonts w:hint="eastAsia"/>
          <w:sz w:val="24"/>
        </w:rPr>
        <w:t>t</w:t>
      </w:r>
      <w:r w:rsidRPr="001A5BBE">
        <w:rPr>
          <w:rFonts w:hint="eastAsia"/>
          <w:sz w:val="24"/>
        </w:rPr>
        <w:t>值为</w:t>
      </w:r>
      <w:r w:rsidRPr="001A5BBE">
        <w:rPr>
          <w:rFonts w:hint="eastAsia"/>
          <w:sz w:val="24"/>
        </w:rPr>
        <w:t>1.81</w:t>
      </w:r>
      <w:r>
        <w:rPr>
          <w:rFonts w:hint="eastAsia"/>
          <w:sz w:val="24"/>
        </w:rPr>
        <w:t>，带入公式</w:t>
      </w:r>
      <w:r w:rsidRPr="001A5BBE">
        <w:rPr>
          <w:rFonts w:hint="eastAsia"/>
          <w:sz w:val="24"/>
        </w:rPr>
        <w:t>计算出来的</w:t>
      </w:r>
      <w:r w:rsidRPr="001A5BBE">
        <w:rPr>
          <w:rFonts w:hint="eastAsia"/>
          <w:sz w:val="24"/>
        </w:rPr>
        <w:t>t</w:t>
      </w:r>
      <w:r w:rsidRPr="001A5BBE">
        <w:rPr>
          <w:rFonts w:hint="eastAsia"/>
          <w:sz w:val="24"/>
        </w:rPr>
        <w:t>值为</w:t>
      </w:r>
      <w:r w:rsidRPr="001A5BBE">
        <w:rPr>
          <w:rFonts w:hint="eastAsia"/>
          <w:sz w:val="24"/>
        </w:rPr>
        <w:t>0.45</w:t>
      </w:r>
      <w:r w:rsidRPr="001A5BBE">
        <w:rPr>
          <w:rFonts w:hint="eastAsia"/>
          <w:sz w:val="24"/>
        </w:rPr>
        <w:t>，</w:t>
      </w:r>
      <w:r w:rsidRPr="001A5BBE">
        <w:rPr>
          <w:rFonts w:hint="eastAsia"/>
          <w:sz w:val="24"/>
        </w:rPr>
        <w:t>t</w:t>
      </w:r>
      <w:r w:rsidRPr="001A5BBE">
        <w:rPr>
          <w:rFonts w:hint="eastAsia"/>
          <w:sz w:val="24"/>
        </w:rPr>
        <w:t>计算</w:t>
      </w:r>
      <w:r w:rsidRPr="001A5BBE">
        <w:rPr>
          <w:rFonts w:hint="eastAsia"/>
          <w:sz w:val="24"/>
        </w:rPr>
        <w:t>&lt;t</w:t>
      </w:r>
      <w:r w:rsidRPr="001A5BBE">
        <w:rPr>
          <w:rFonts w:hint="eastAsia"/>
          <w:sz w:val="24"/>
          <w:vertAlign w:val="subscript"/>
        </w:rPr>
        <w:t>0.05</w:t>
      </w:r>
      <w:r w:rsidRPr="001A5BBE">
        <w:rPr>
          <w:rFonts w:hint="eastAsia"/>
          <w:sz w:val="24"/>
          <w:vertAlign w:val="subscript"/>
        </w:rPr>
        <w:t>，</w:t>
      </w:r>
      <w:r w:rsidRPr="001A5BBE">
        <w:rPr>
          <w:rFonts w:hint="eastAsia"/>
          <w:sz w:val="24"/>
          <w:vertAlign w:val="subscript"/>
        </w:rPr>
        <w:t>10</w:t>
      </w:r>
      <w:r>
        <w:rPr>
          <w:rFonts w:hint="eastAsia"/>
          <w:sz w:val="24"/>
        </w:rPr>
        <w:t>，</w:t>
      </w:r>
      <w:r w:rsidRPr="001A5BBE">
        <w:rPr>
          <w:rFonts w:hint="eastAsia"/>
          <w:sz w:val="24"/>
        </w:rPr>
        <w:t>故两种方法测定结果不存在显著差异。</w:t>
      </w:r>
      <w:r>
        <w:rPr>
          <w:rFonts w:hint="eastAsia"/>
          <w:sz w:val="24"/>
        </w:rPr>
        <w:t>在标准品检测中</w:t>
      </w:r>
      <w:r w:rsidRPr="001A5BBE">
        <w:rPr>
          <w:rFonts w:hint="eastAsia"/>
          <w:sz w:val="24"/>
        </w:rPr>
        <w:t>，取中科院过程工程研究所的牛源</w:t>
      </w:r>
      <w:r w:rsidRPr="001A5BBE">
        <w:rPr>
          <w:rFonts w:hint="eastAsia"/>
          <w:sz w:val="24"/>
        </w:rPr>
        <w:t>II</w:t>
      </w:r>
      <w:r w:rsidRPr="001A5BBE">
        <w:rPr>
          <w:rFonts w:hint="eastAsia"/>
          <w:sz w:val="24"/>
        </w:rPr>
        <w:t>型胶原蛋白（</w:t>
      </w:r>
      <w:r w:rsidRPr="001A5BBE">
        <w:rPr>
          <w:rFonts w:hint="eastAsia"/>
          <w:sz w:val="24"/>
        </w:rPr>
        <w:t>20 mg/</w:t>
      </w:r>
      <w:r w:rsidRPr="001A5BBE">
        <w:rPr>
          <w:rFonts w:hint="eastAsia"/>
          <w:sz w:val="24"/>
        </w:rPr>
        <w:t>瓶）标准品一瓶</w:t>
      </w:r>
      <w:r w:rsidRPr="001A5BBE">
        <w:rPr>
          <w:rFonts w:hint="eastAsia"/>
          <w:sz w:val="24"/>
        </w:rPr>
        <w:t xml:space="preserve"> </w:t>
      </w:r>
      <w:r w:rsidRPr="001A5BBE">
        <w:rPr>
          <w:rFonts w:hint="eastAsia"/>
          <w:sz w:val="24"/>
        </w:rPr>
        <w:t>，批号</w:t>
      </w:r>
      <w:r w:rsidRPr="001A5BBE">
        <w:rPr>
          <w:rFonts w:hint="eastAsia"/>
          <w:sz w:val="24"/>
        </w:rPr>
        <w:t>20211001</w:t>
      </w:r>
      <w:r w:rsidRPr="001A5BBE">
        <w:rPr>
          <w:rFonts w:hint="eastAsia"/>
          <w:sz w:val="24"/>
        </w:rPr>
        <w:t>，羟脯氨酸含量</w:t>
      </w:r>
      <w:r w:rsidRPr="001A5BBE">
        <w:rPr>
          <w:rFonts w:hint="eastAsia"/>
          <w:sz w:val="24"/>
        </w:rPr>
        <w:t>10.91%</w:t>
      </w:r>
      <w:r w:rsidRPr="001A5BBE">
        <w:rPr>
          <w:rFonts w:hint="eastAsia"/>
          <w:sz w:val="24"/>
        </w:rPr>
        <w:t>±</w:t>
      </w:r>
      <w:r w:rsidRPr="001A5BBE">
        <w:rPr>
          <w:rFonts w:hint="eastAsia"/>
          <w:sz w:val="24"/>
        </w:rPr>
        <w:t>0.42%</w:t>
      </w:r>
      <w:r w:rsidRPr="001A5BBE">
        <w:rPr>
          <w:rFonts w:hint="eastAsia"/>
          <w:sz w:val="24"/>
        </w:rPr>
        <w:t>。直接用盐酸水解定容，分别用两种方法测定</w:t>
      </w:r>
      <w:r w:rsidRPr="001A5BBE">
        <w:rPr>
          <w:rFonts w:hint="eastAsia"/>
          <w:sz w:val="24"/>
        </w:rPr>
        <w:t>3</w:t>
      </w:r>
      <w:r w:rsidRPr="001A5BBE">
        <w:rPr>
          <w:rFonts w:hint="eastAsia"/>
          <w:sz w:val="24"/>
        </w:rPr>
        <w:t>次，</w:t>
      </w:r>
      <w:r>
        <w:rPr>
          <w:rFonts w:hint="eastAsia"/>
          <w:sz w:val="24"/>
        </w:rPr>
        <w:t>结果表明</w:t>
      </w:r>
      <w:r w:rsidRPr="001A5BBE">
        <w:rPr>
          <w:rFonts w:hint="eastAsia"/>
          <w:sz w:val="24"/>
        </w:rPr>
        <w:t>两种检测方法测定牛源</w:t>
      </w:r>
      <w:r w:rsidRPr="001A5BBE">
        <w:rPr>
          <w:rFonts w:hint="eastAsia"/>
          <w:sz w:val="24"/>
        </w:rPr>
        <w:t>II</w:t>
      </w:r>
      <w:r w:rsidRPr="001A5BBE">
        <w:rPr>
          <w:rFonts w:hint="eastAsia"/>
          <w:sz w:val="24"/>
        </w:rPr>
        <w:t>型胶原蛋白结果的羟脯氨酸结果均在标准品范围内</w:t>
      </w:r>
      <w:r>
        <w:rPr>
          <w:rFonts w:hint="eastAsia"/>
          <w:sz w:val="24"/>
        </w:rPr>
        <w:t>。</w:t>
      </w:r>
    </w:p>
    <w:p w14:paraId="1786E5C2" w14:textId="461D7F83" w:rsidR="001A5BBE" w:rsidRPr="001A5BBE" w:rsidRDefault="001A5BBE" w:rsidP="001A5BBE">
      <w:pPr>
        <w:snapToGrid w:val="0"/>
        <w:spacing w:line="360" w:lineRule="auto"/>
        <w:ind w:firstLineChars="200" w:firstLine="480"/>
        <w:rPr>
          <w:sz w:val="24"/>
        </w:rPr>
      </w:pPr>
      <w:r w:rsidRPr="001A5BBE">
        <w:rPr>
          <w:rFonts w:hint="eastAsia"/>
          <w:sz w:val="24"/>
        </w:rPr>
        <w:t>综上所述，经过</w:t>
      </w:r>
      <w:r w:rsidRPr="001A5BBE">
        <w:rPr>
          <w:rFonts w:hint="eastAsia"/>
          <w:sz w:val="24"/>
        </w:rPr>
        <w:t>F</w:t>
      </w:r>
      <w:r w:rsidRPr="001A5BBE">
        <w:rPr>
          <w:rFonts w:hint="eastAsia"/>
          <w:sz w:val="24"/>
        </w:rPr>
        <w:t>检验和</w:t>
      </w:r>
      <w:r w:rsidRPr="001A5BBE">
        <w:rPr>
          <w:rFonts w:hint="eastAsia"/>
          <w:sz w:val="24"/>
        </w:rPr>
        <w:t>t</w:t>
      </w:r>
      <w:r w:rsidRPr="001A5BBE">
        <w:rPr>
          <w:rFonts w:hint="eastAsia"/>
          <w:sz w:val="24"/>
        </w:rPr>
        <w:t>检验，两种方法结果不存在显著差异，两种方法均可测定非变性</w:t>
      </w:r>
      <w:r w:rsidRPr="001A5BBE">
        <w:rPr>
          <w:rFonts w:hint="eastAsia"/>
          <w:sz w:val="24"/>
        </w:rPr>
        <w:t>II</w:t>
      </w:r>
      <w:r w:rsidRPr="001A5BBE">
        <w:rPr>
          <w:rFonts w:hint="eastAsia"/>
          <w:sz w:val="24"/>
        </w:rPr>
        <w:t>型中胶原蛋白中的羟脯氨酸。测定牛源</w:t>
      </w:r>
      <w:r w:rsidRPr="001A5BBE">
        <w:rPr>
          <w:rFonts w:hint="eastAsia"/>
          <w:sz w:val="24"/>
        </w:rPr>
        <w:t>II</w:t>
      </w:r>
      <w:r w:rsidRPr="001A5BBE">
        <w:rPr>
          <w:rFonts w:hint="eastAsia"/>
          <w:sz w:val="24"/>
        </w:rPr>
        <w:t>型胶原蛋白标准物质两种方法得到的羟脯氨酸结果都在合理误差范围内。以上验证过程与数据详见验证报告。</w:t>
      </w:r>
    </w:p>
    <w:p w14:paraId="5587DC3F" w14:textId="0D196EBC" w:rsidR="001A5BBE" w:rsidRPr="001A5BBE" w:rsidRDefault="001A5BBE" w:rsidP="001A5BBE">
      <w:pPr>
        <w:pStyle w:val="3"/>
      </w:pPr>
      <w:bookmarkStart w:id="51" w:name="_Toc176255800"/>
      <w:r w:rsidRPr="000D2117">
        <w:t>2</w:t>
      </w:r>
      <w:r>
        <w:rPr>
          <w:rFonts w:hint="eastAsia"/>
        </w:rPr>
        <w:t>.10</w:t>
      </w:r>
      <w:r w:rsidRPr="000D2117">
        <w:t xml:space="preserve">  “</w:t>
      </w:r>
      <w:r>
        <w:rPr>
          <w:rFonts w:hint="eastAsia"/>
        </w:rPr>
        <w:t>附录</w:t>
      </w:r>
      <w:r>
        <w:rPr>
          <w:rFonts w:hint="eastAsia"/>
        </w:rPr>
        <w:t>B</w:t>
      </w:r>
      <w:r w:rsidRPr="000D2117">
        <w:t>”</w:t>
      </w:r>
      <w:bookmarkEnd w:id="51"/>
    </w:p>
    <w:p w14:paraId="2C3003AA" w14:textId="2F802F3D" w:rsidR="000A413E" w:rsidRPr="000A413E" w:rsidRDefault="000A413E" w:rsidP="000A413E">
      <w:pPr>
        <w:snapToGrid w:val="0"/>
        <w:spacing w:line="360" w:lineRule="auto"/>
        <w:ind w:firstLineChars="200" w:firstLine="480"/>
        <w:rPr>
          <w:sz w:val="24"/>
        </w:rPr>
      </w:pPr>
      <w:r w:rsidRPr="000A413E">
        <w:rPr>
          <w:rFonts w:hint="eastAsia"/>
          <w:sz w:val="24"/>
        </w:rPr>
        <w:t>在附录</w:t>
      </w:r>
      <w:r w:rsidRPr="000A413E">
        <w:rPr>
          <w:rFonts w:hint="eastAsia"/>
          <w:sz w:val="24"/>
        </w:rPr>
        <w:t>B</w:t>
      </w:r>
      <w:r w:rsidRPr="000A413E">
        <w:rPr>
          <w:rFonts w:hint="eastAsia"/>
          <w:sz w:val="24"/>
        </w:rPr>
        <w:t>中还列出了</w:t>
      </w:r>
      <w:r w:rsidR="009B7665" w:rsidRPr="009B7665">
        <w:rPr>
          <w:rFonts w:hint="eastAsia"/>
          <w:sz w:val="24"/>
        </w:rPr>
        <w:t>L-</w:t>
      </w:r>
      <w:r w:rsidR="009B7665" w:rsidRPr="009B7665">
        <w:rPr>
          <w:rFonts w:hint="eastAsia"/>
          <w:sz w:val="24"/>
        </w:rPr>
        <w:t>羟脯氨酸氨基酸分析仪的色谱图、流动相梯度洗脱条件和溶液配制</w:t>
      </w:r>
      <w:r w:rsidRPr="000A413E">
        <w:rPr>
          <w:rFonts w:hint="eastAsia"/>
          <w:sz w:val="24"/>
        </w:rPr>
        <w:t>，</w:t>
      </w:r>
      <w:r w:rsidR="009B7665" w:rsidRPr="009B7665">
        <w:rPr>
          <w:rFonts w:hint="eastAsia"/>
          <w:sz w:val="24"/>
        </w:rPr>
        <w:t>高效液相色谱仪分离</w:t>
      </w:r>
      <w:r w:rsidR="009B7665" w:rsidRPr="009B7665">
        <w:rPr>
          <w:rFonts w:hint="eastAsia"/>
          <w:sz w:val="24"/>
        </w:rPr>
        <w:t>L-</w:t>
      </w:r>
      <w:r w:rsidR="009B7665" w:rsidRPr="009B7665">
        <w:rPr>
          <w:rFonts w:hint="eastAsia"/>
          <w:sz w:val="24"/>
        </w:rPr>
        <w:t>羟脯氨酸的标准图谱和流动相梯度洗脱条件</w:t>
      </w:r>
      <w:r w:rsidR="009B7665">
        <w:rPr>
          <w:rFonts w:hint="eastAsia"/>
          <w:sz w:val="24"/>
        </w:rPr>
        <w:t>，以上内容</w:t>
      </w:r>
      <w:r w:rsidRPr="000A413E">
        <w:rPr>
          <w:rFonts w:hint="eastAsia"/>
          <w:sz w:val="24"/>
        </w:rPr>
        <w:t>使得检测方法参数更清晰明了，更加方便标准使用者参考对照后进行实验。</w:t>
      </w:r>
    </w:p>
    <w:p w14:paraId="79333691" w14:textId="2592093D" w:rsidR="00282016" w:rsidRPr="00AD709D" w:rsidRDefault="00000000" w:rsidP="00AD709D">
      <w:pPr>
        <w:pStyle w:val="1"/>
        <w:numPr>
          <w:ilvl w:val="0"/>
          <w:numId w:val="4"/>
        </w:numPr>
        <w:spacing w:before="156" w:after="156"/>
        <w:rPr>
          <w:szCs w:val="30"/>
        </w:rPr>
      </w:pPr>
      <w:bookmarkStart w:id="52" w:name="_Toc176255801"/>
      <w:bookmarkStart w:id="53" w:name="_Toc102581190"/>
      <w:r>
        <w:rPr>
          <w:szCs w:val="30"/>
        </w:rPr>
        <w:lastRenderedPageBreak/>
        <w:t>试验验证的分析、综述报告，技术经济论证，预期的经济效益、社会效益和生态效益</w:t>
      </w:r>
      <w:bookmarkEnd w:id="52"/>
    </w:p>
    <w:p w14:paraId="60CEDDA8" w14:textId="7DE3B4C5" w:rsidR="00282016" w:rsidRDefault="00227B10" w:rsidP="00415F24">
      <w:pPr>
        <w:pStyle w:val="ab"/>
        <w:spacing w:line="360" w:lineRule="auto"/>
        <w:ind w:firstLineChars="200" w:firstLine="480"/>
        <w:rPr>
          <w:color w:val="000000"/>
          <w:sz w:val="24"/>
          <w:szCs w:val="24"/>
        </w:rPr>
      </w:pPr>
      <w:r w:rsidRPr="00227B10">
        <w:rPr>
          <w:rFonts w:hint="eastAsia"/>
          <w:color w:val="000000"/>
          <w:sz w:val="24"/>
          <w:szCs w:val="24"/>
        </w:rPr>
        <w:t>根据法国</w:t>
      </w:r>
      <w:proofErr w:type="spellStart"/>
      <w:r w:rsidRPr="00227B10">
        <w:rPr>
          <w:rFonts w:hint="eastAsia"/>
          <w:color w:val="000000"/>
          <w:sz w:val="24"/>
          <w:szCs w:val="24"/>
        </w:rPr>
        <w:t>Frost&amp;Sullivan</w:t>
      </w:r>
      <w:proofErr w:type="spellEnd"/>
      <w:r w:rsidRPr="00227B10">
        <w:rPr>
          <w:rFonts w:hint="eastAsia"/>
          <w:color w:val="000000"/>
          <w:sz w:val="24"/>
          <w:szCs w:val="24"/>
        </w:rPr>
        <w:t>调查数据显示，非变性</w:t>
      </w:r>
      <w:r w:rsidRPr="00227B10">
        <w:rPr>
          <w:rFonts w:hint="eastAsia"/>
          <w:color w:val="000000"/>
          <w:sz w:val="24"/>
          <w:szCs w:val="24"/>
        </w:rPr>
        <w:t>II</w:t>
      </w:r>
      <w:r w:rsidRPr="00227B10">
        <w:rPr>
          <w:rFonts w:hint="eastAsia"/>
          <w:color w:val="000000"/>
          <w:sz w:val="24"/>
          <w:szCs w:val="24"/>
        </w:rPr>
        <w:t>型胶原蛋白</w:t>
      </w:r>
      <w:r w:rsidRPr="00227B10">
        <w:rPr>
          <w:rFonts w:hint="eastAsia"/>
          <w:color w:val="000000"/>
          <w:sz w:val="24"/>
          <w:szCs w:val="24"/>
        </w:rPr>
        <w:t>2022</w:t>
      </w:r>
      <w:r w:rsidRPr="00227B10">
        <w:rPr>
          <w:rFonts w:hint="eastAsia"/>
          <w:color w:val="000000"/>
          <w:sz w:val="24"/>
          <w:szCs w:val="24"/>
        </w:rPr>
        <w:t>年全球销售总额达到</w:t>
      </w:r>
      <w:r w:rsidRPr="00227B10">
        <w:rPr>
          <w:rFonts w:hint="eastAsia"/>
          <w:color w:val="000000"/>
          <w:sz w:val="24"/>
          <w:szCs w:val="24"/>
        </w:rPr>
        <w:t>1.54</w:t>
      </w:r>
      <w:r w:rsidRPr="00227B10">
        <w:rPr>
          <w:rFonts w:hint="eastAsia"/>
          <w:color w:val="000000"/>
          <w:sz w:val="24"/>
          <w:szCs w:val="24"/>
        </w:rPr>
        <w:t>亿美金，市场份额最大的地区为北美，占比为</w:t>
      </w:r>
      <w:r w:rsidRPr="00227B10">
        <w:rPr>
          <w:rFonts w:hint="eastAsia"/>
          <w:color w:val="000000"/>
          <w:sz w:val="24"/>
          <w:szCs w:val="24"/>
        </w:rPr>
        <w:t>37.8.7%</w:t>
      </w:r>
      <w:r w:rsidRPr="00227B10">
        <w:rPr>
          <w:rFonts w:hint="eastAsia"/>
          <w:color w:val="000000"/>
          <w:sz w:val="24"/>
          <w:szCs w:val="24"/>
        </w:rPr>
        <w:t>，其次为亚太地区（</w:t>
      </w:r>
      <w:r w:rsidRPr="00227B10">
        <w:rPr>
          <w:rFonts w:hint="eastAsia"/>
          <w:color w:val="000000"/>
          <w:sz w:val="24"/>
          <w:szCs w:val="24"/>
        </w:rPr>
        <w:t>28.6%</w:t>
      </w:r>
      <w:r w:rsidRPr="00227B10">
        <w:rPr>
          <w:rFonts w:hint="eastAsia"/>
          <w:color w:val="000000"/>
          <w:sz w:val="24"/>
          <w:szCs w:val="24"/>
        </w:rPr>
        <w:t>），欧洲（</w:t>
      </w:r>
      <w:r w:rsidRPr="00227B10">
        <w:rPr>
          <w:rFonts w:hint="eastAsia"/>
          <w:color w:val="000000"/>
          <w:sz w:val="24"/>
          <w:szCs w:val="24"/>
        </w:rPr>
        <w:t>20.8%</w:t>
      </w:r>
      <w:r w:rsidRPr="00227B10">
        <w:rPr>
          <w:rFonts w:hint="eastAsia"/>
          <w:color w:val="000000"/>
          <w:sz w:val="24"/>
          <w:szCs w:val="24"/>
        </w:rPr>
        <w:t>）、拉美（</w:t>
      </w:r>
      <w:r w:rsidRPr="00227B10">
        <w:rPr>
          <w:rFonts w:hint="eastAsia"/>
          <w:color w:val="000000"/>
          <w:sz w:val="24"/>
          <w:szCs w:val="24"/>
        </w:rPr>
        <w:t>8.9%</w:t>
      </w:r>
      <w:r w:rsidRPr="00227B10">
        <w:rPr>
          <w:rFonts w:hint="eastAsia"/>
          <w:color w:val="000000"/>
          <w:sz w:val="24"/>
          <w:szCs w:val="24"/>
        </w:rPr>
        <w:t>）和中东（</w:t>
      </w:r>
      <w:r w:rsidRPr="00227B10">
        <w:rPr>
          <w:rFonts w:hint="eastAsia"/>
          <w:color w:val="000000"/>
          <w:sz w:val="24"/>
          <w:szCs w:val="24"/>
        </w:rPr>
        <w:t>3.9%</w:t>
      </w:r>
      <w:r w:rsidRPr="00227B10">
        <w:rPr>
          <w:rFonts w:hint="eastAsia"/>
          <w:color w:val="000000"/>
          <w:sz w:val="24"/>
          <w:szCs w:val="24"/>
        </w:rPr>
        <w:t>）。其中中国占到亚太地区的销售额</w:t>
      </w:r>
      <w:r w:rsidRPr="00227B10">
        <w:rPr>
          <w:rFonts w:hint="eastAsia"/>
          <w:color w:val="000000"/>
          <w:sz w:val="24"/>
          <w:szCs w:val="24"/>
        </w:rPr>
        <w:t>70%</w:t>
      </w:r>
      <w:r w:rsidRPr="00227B10">
        <w:rPr>
          <w:rFonts w:hint="eastAsia"/>
          <w:color w:val="000000"/>
          <w:sz w:val="24"/>
          <w:szCs w:val="24"/>
        </w:rPr>
        <w:t>以上，主要应用在促进关节健康的功能性食品中</w:t>
      </w:r>
      <w:r w:rsidR="00415F24" w:rsidRPr="00415F24">
        <w:rPr>
          <w:rFonts w:hint="eastAsia"/>
          <w:color w:val="000000"/>
          <w:sz w:val="24"/>
          <w:szCs w:val="24"/>
        </w:rPr>
        <w:t>。</w:t>
      </w:r>
      <w:r>
        <w:rPr>
          <w:rFonts w:hint="eastAsia"/>
          <w:color w:val="000000"/>
          <w:sz w:val="24"/>
          <w:szCs w:val="24"/>
        </w:rPr>
        <w:t>但</w:t>
      </w:r>
      <w:r w:rsidRPr="00227B10">
        <w:rPr>
          <w:rFonts w:hint="eastAsia"/>
          <w:color w:val="000000"/>
          <w:sz w:val="24"/>
          <w:szCs w:val="24"/>
        </w:rPr>
        <w:t>非变性</w:t>
      </w:r>
      <w:r w:rsidRPr="00227B10">
        <w:rPr>
          <w:rFonts w:hint="eastAsia"/>
          <w:color w:val="000000"/>
          <w:sz w:val="24"/>
          <w:szCs w:val="24"/>
        </w:rPr>
        <w:t>II</w:t>
      </w:r>
      <w:r w:rsidRPr="00227B10">
        <w:rPr>
          <w:rFonts w:hint="eastAsia"/>
          <w:color w:val="000000"/>
          <w:sz w:val="24"/>
          <w:szCs w:val="24"/>
        </w:rPr>
        <w:t>型胶原蛋白目前只有在美国、西班牙和日本这几个国家生产，终端市场代表品牌如维骨力、钙尔奇等都添加了该产品，以增强其改善关节的效果。</w:t>
      </w:r>
      <w:r w:rsidRPr="00227B10">
        <w:rPr>
          <w:rFonts w:hint="eastAsia"/>
          <w:color w:val="000000"/>
          <w:sz w:val="24"/>
          <w:szCs w:val="24"/>
        </w:rPr>
        <w:t>2017</w:t>
      </w:r>
      <w:r w:rsidRPr="00227B10">
        <w:rPr>
          <w:rFonts w:hint="eastAsia"/>
          <w:color w:val="000000"/>
          <w:sz w:val="24"/>
          <w:szCs w:val="24"/>
        </w:rPr>
        <w:t>年北京盛美诺生物技术有限公司与中国科学院过程工程研究所合作，采用自主研发专利技术，以动物软骨为原料在低温条件下生产出非变性</w:t>
      </w:r>
      <w:r w:rsidRPr="00227B10">
        <w:rPr>
          <w:rFonts w:hint="eastAsia"/>
          <w:color w:val="000000"/>
          <w:sz w:val="24"/>
          <w:szCs w:val="24"/>
        </w:rPr>
        <w:t>II</w:t>
      </w:r>
      <w:r w:rsidRPr="00227B10">
        <w:rPr>
          <w:rFonts w:hint="eastAsia"/>
          <w:color w:val="000000"/>
          <w:sz w:val="24"/>
          <w:szCs w:val="24"/>
        </w:rPr>
        <w:t>型胶原蛋白，打破了国外的技术垄断，并取得了食品生产许可。</w:t>
      </w:r>
      <w:r>
        <w:rPr>
          <w:rFonts w:hint="eastAsia"/>
          <w:color w:val="000000"/>
          <w:sz w:val="24"/>
          <w:szCs w:val="24"/>
        </w:rPr>
        <w:t>本产品标准的推出，将进一步规范和提升</w:t>
      </w:r>
      <w:r w:rsidRPr="00227B10">
        <w:rPr>
          <w:rFonts w:hint="eastAsia"/>
          <w:color w:val="000000"/>
          <w:sz w:val="24"/>
          <w:szCs w:val="24"/>
        </w:rPr>
        <w:t>非变性</w:t>
      </w:r>
      <w:r w:rsidRPr="00227B10">
        <w:rPr>
          <w:rFonts w:hint="eastAsia"/>
          <w:color w:val="000000"/>
          <w:sz w:val="24"/>
          <w:szCs w:val="24"/>
        </w:rPr>
        <w:t>II</w:t>
      </w:r>
      <w:r w:rsidRPr="00227B10">
        <w:rPr>
          <w:rFonts w:hint="eastAsia"/>
          <w:color w:val="000000"/>
          <w:sz w:val="24"/>
          <w:szCs w:val="24"/>
        </w:rPr>
        <w:t>型胶原蛋白</w:t>
      </w:r>
      <w:r>
        <w:rPr>
          <w:rFonts w:hint="eastAsia"/>
          <w:color w:val="000000"/>
          <w:sz w:val="24"/>
          <w:szCs w:val="24"/>
        </w:rPr>
        <w:t>的产品质量，提升产品知名度，产品质量获得消费者认可，</w:t>
      </w:r>
      <w:r w:rsidR="00F60054" w:rsidRPr="00F60054">
        <w:rPr>
          <w:rFonts w:hint="eastAsia"/>
          <w:color w:val="000000"/>
          <w:sz w:val="24"/>
          <w:szCs w:val="24"/>
        </w:rPr>
        <w:t>更好地实现优质优价</w:t>
      </w:r>
      <w:r w:rsidR="00F60054">
        <w:rPr>
          <w:rFonts w:hint="eastAsia"/>
          <w:color w:val="000000"/>
          <w:sz w:val="24"/>
          <w:szCs w:val="24"/>
        </w:rPr>
        <w:t>，</w:t>
      </w:r>
      <w:r w:rsidR="00F60054" w:rsidRPr="00F60054">
        <w:rPr>
          <w:rFonts w:hint="eastAsia"/>
          <w:color w:val="000000"/>
          <w:sz w:val="24"/>
          <w:szCs w:val="24"/>
        </w:rPr>
        <w:t>规范市场秩序</w:t>
      </w:r>
      <w:r w:rsidR="00F60054">
        <w:rPr>
          <w:rFonts w:hint="eastAsia"/>
          <w:color w:val="000000"/>
          <w:sz w:val="24"/>
          <w:szCs w:val="24"/>
        </w:rPr>
        <w:t>，</w:t>
      </w:r>
      <w:r w:rsidR="00F60054" w:rsidRPr="00F60054">
        <w:rPr>
          <w:rFonts w:hint="eastAsia"/>
          <w:color w:val="000000"/>
          <w:sz w:val="24"/>
          <w:szCs w:val="24"/>
        </w:rPr>
        <w:t>保护消费者利益</w:t>
      </w:r>
      <w:r w:rsidR="00F60054">
        <w:rPr>
          <w:rFonts w:hint="eastAsia"/>
          <w:color w:val="000000"/>
          <w:sz w:val="24"/>
          <w:szCs w:val="24"/>
        </w:rPr>
        <w:t>，</w:t>
      </w:r>
      <w:r>
        <w:rPr>
          <w:rFonts w:hint="eastAsia"/>
          <w:color w:val="000000"/>
          <w:sz w:val="24"/>
          <w:szCs w:val="24"/>
        </w:rPr>
        <w:t>最终促进</w:t>
      </w:r>
      <w:r w:rsidRPr="00227B10">
        <w:rPr>
          <w:rFonts w:hint="eastAsia"/>
          <w:color w:val="000000"/>
          <w:sz w:val="24"/>
          <w:szCs w:val="24"/>
        </w:rPr>
        <w:t>非变性</w:t>
      </w:r>
      <w:r w:rsidRPr="00227B10">
        <w:rPr>
          <w:rFonts w:hint="eastAsia"/>
          <w:color w:val="000000"/>
          <w:sz w:val="24"/>
          <w:szCs w:val="24"/>
        </w:rPr>
        <w:t>II</w:t>
      </w:r>
      <w:r w:rsidRPr="00227B10">
        <w:rPr>
          <w:rFonts w:hint="eastAsia"/>
          <w:color w:val="000000"/>
          <w:sz w:val="24"/>
          <w:szCs w:val="24"/>
        </w:rPr>
        <w:t>型胶原蛋白</w:t>
      </w:r>
      <w:r>
        <w:rPr>
          <w:rFonts w:hint="eastAsia"/>
          <w:color w:val="000000"/>
          <w:sz w:val="24"/>
          <w:szCs w:val="24"/>
        </w:rPr>
        <w:t>产品市场的有序、高效发展，同时，也能为市场监管提供依据，更进一步提升产品质量，达到正向循环的效果。</w:t>
      </w:r>
    </w:p>
    <w:p w14:paraId="69C8CB2A" w14:textId="77777777" w:rsidR="00282016" w:rsidRDefault="00000000">
      <w:pPr>
        <w:pStyle w:val="1"/>
        <w:spacing w:before="156" w:after="156"/>
      </w:pPr>
      <w:bookmarkStart w:id="54" w:name="_Toc176255802"/>
      <w:bookmarkEnd w:id="53"/>
      <w:r>
        <w:t>四、与国际、国外同类标准技术内容的对比情况，或者与测试的国外样品、样机的有关数据对比情况</w:t>
      </w:r>
      <w:bookmarkEnd w:id="54"/>
    </w:p>
    <w:p w14:paraId="55474AED" w14:textId="48124727" w:rsidR="00E15FED" w:rsidRPr="002055DE" w:rsidRDefault="00F60054" w:rsidP="00AF751A">
      <w:pPr>
        <w:pStyle w:val="ab"/>
        <w:spacing w:line="360" w:lineRule="auto"/>
        <w:ind w:firstLineChars="200" w:firstLine="480"/>
        <w:rPr>
          <w:color w:val="000000"/>
          <w:sz w:val="24"/>
          <w:szCs w:val="24"/>
        </w:rPr>
      </w:pPr>
      <w:r w:rsidRPr="00F60054">
        <w:rPr>
          <w:rFonts w:hint="eastAsia"/>
          <w:color w:val="000000"/>
          <w:sz w:val="24"/>
          <w:szCs w:val="24"/>
        </w:rPr>
        <w:t>目前我国已颁布实施的与胶原蛋白相关的标准主要有</w:t>
      </w:r>
      <w:r w:rsidRPr="00F60054">
        <w:rPr>
          <w:rFonts w:hint="eastAsia"/>
          <w:color w:val="000000"/>
          <w:sz w:val="24"/>
          <w:szCs w:val="24"/>
        </w:rPr>
        <w:t>GB</w:t>
      </w:r>
      <w:r w:rsidRPr="00F60054">
        <w:rPr>
          <w:rFonts w:hint="eastAsia"/>
          <w:color w:val="000000"/>
          <w:sz w:val="24"/>
          <w:szCs w:val="24"/>
        </w:rPr>
        <w:t>／</w:t>
      </w:r>
      <w:r w:rsidRPr="00F60054">
        <w:rPr>
          <w:rFonts w:hint="eastAsia"/>
          <w:color w:val="000000"/>
          <w:sz w:val="24"/>
          <w:szCs w:val="24"/>
        </w:rPr>
        <w:t>T 31645</w:t>
      </w:r>
      <w:r w:rsidRPr="00F60054">
        <w:rPr>
          <w:rFonts w:hint="eastAsia"/>
          <w:color w:val="000000"/>
          <w:sz w:val="24"/>
          <w:szCs w:val="24"/>
        </w:rPr>
        <w:t>《胶原蛋白肽》、</w:t>
      </w:r>
      <w:r w:rsidRPr="00F60054">
        <w:rPr>
          <w:rFonts w:hint="eastAsia"/>
          <w:color w:val="000000"/>
          <w:sz w:val="24"/>
          <w:szCs w:val="24"/>
        </w:rPr>
        <w:t>GB/T 22729</w:t>
      </w:r>
      <w:r w:rsidRPr="00F60054">
        <w:rPr>
          <w:rFonts w:hint="eastAsia"/>
          <w:color w:val="000000"/>
          <w:sz w:val="24"/>
          <w:szCs w:val="24"/>
        </w:rPr>
        <w:t>《海洋鱼胶原低聚肽》和</w:t>
      </w:r>
      <w:r w:rsidRPr="00F60054">
        <w:rPr>
          <w:rFonts w:hint="eastAsia"/>
          <w:color w:val="000000"/>
          <w:sz w:val="24"/>
          <w:szCs w:val="24"/>
        </w:rPr>
        <w:t>QB2732</w:t>
      </w:r>
      <w:r w:rsidRPr="00F60054">
        <w:rPr>
          <w:rFonts w:hint="eastAsia"/>
          <w:color w:val="000000"/>
          <w:sz w:val="24"/>
          <w:szCs w:val="24"/>
        </w:rPr>
        <w:t>《水解胶原蛋白》，</w:t>
      </w:r>
      <w:r w:rsidR="002F0134">
        <w:rPr>
          <w:rFonts w:hint="eastAsia"/>
          <w:color w:val="000000"/>
          <w:sz w:val="24"/>
          <w:szCs w:val="24"/>
        </w:rPr>
        <w:t>但</w:t>
      </w:r>
      <w:r w:rsidRPr="00F60054">
        <w:rPr>
          <w:rFonts w:hint="eastAsia"/>
          <w:color w:val="000000"/>
          <w:sz w:val="24"/>
          <w:szCs w:val="24"/>
        </w:rPr>
        <w:t>这些标准规定的范围都是降解成胶原蛋白肽的产品，</w:t>
      </w:r>
      <w:r w:rsidR="002F0134">
        <w:rPr>
          <w:rFonts w:hint="eastAsia"/>
          <w:color w:val="000000"/>
          <w:sz w:val="24"/>
          <w:szCs w:val="24"/>
        </w:rPr>
        <w:t>而</w:t>
      </w:r>
      <w:r w:rsidRPr="00F60054">
        <w:rPr>
          <w:rFonts w:hint="eastAsia"/>
          <w:color w:val="000000"/>
          <w:sz w:val="24"/>
          <w:szCs w:val="24"/>
        </w:rPr>
        <w:t>非变性</w:t>
      </w:r>
      <w:r w:rsidRPr="00F60054">
        <w:rPr>
          <w:rFonts w:hint="eastAsia"/>
          <w:color w:val="000000"/>
          <w:sz w:val="24"/>
          <w:szCs w:val="24"/>
        </w:rPr>
        <w:t>II</w:t>
      </w:r>
      <w:r w:rsidRPr="00F60054">
        <w:rPr>
          <w:rFonts w:hint="eastAsia"/>
          <w:color w:val="000000"/>
          <w:sz w:val="24"/>
          <w:szCs w:val="24"/>
        </w:rPr>
        <w:t>型胶原蛋白的特点是非变性胶原蛋白质，</w:t>
      </w:r>
      <w:r w:rsidR="009A52D4">
        <w:rPr>
          <w:rFonts w:hint="eastAsia"/>
          <w:color w:val="000000"/>
          <w:sz w:val="24"/>
          <w:szCs w:val="24"/>
        </w:rPr>
        <w:t>因此上述标准相关内容有可以借鉴的地方，但并不完全适用</w:t>
      </w:r>
      <w:r w:rsidR="009A52D4" w:rsidRPr="00F60054">
        <w:rPr>
          <w:rFonts w:hint="eastAsia"/>
          <w:color w:val="000000"/>
          <w:sz w:val="24"/>
          <w:szCs w:val="24"/>
        </w:rPr>
        <w:t>非变性</w:t>
      </w:r>
      <w:r w:rsidR="009A52D4" w:rsidRPr="00F60054">
        <w:rPr>
          <w:rFonts w:hint="eastAsia"/>
          <w:color w:val="000000"/>
          <w:sz w:val="24"/>
          <w:szCs w:val="24"/>
        </w:rPr>
        <w:t>II</w:t>
      </w:r>
      <w:r w:rsidR="009A52D4" w:rsidRPr="00F60054">
        <w:rPr>
          <w:rFonts w:hint="eastAsia"/>
          <w:color w:val="000000"/>
          <w:sz w:val="24"/>
          <w:szCs w:val="24"/>
        </w:rPr>
        <w:t>型胶原蛋白</w:t>
      </w:r>
      <w:r w:rsidR="009A52D4">
        <w:rPr>
          <w:rFonts w:hint="eastAsia"/>
          <w:color w:val="000000"/>
          <w:sz w:val="24"/>
          <w:szCs w:val="24"/>
        </w:rPr>
        <w:t>产品。鉴于</w:t>
      </w:r>
      <w:r w:rsidR="00C80452">
        <w:rPr>
          <w:rFonts w:hint="eastAsia"/>
          <w:color w:val="000000"/>
          <w:sz w:val="24"/>
          <w:szCs w:val="24"/>
        </w:rPr>
        <w:t>目前并无相关</w:t>
      </w:r>
      <w:r w:rsidR="00C80452" w:rsidRPr="00F60054">
        <w:rPr>
          <w:rFonts w:hint="eastAsia"/>
          <w:color w:val="000000"/>
          <w:sz w:val="24"/>
          <w:szCs w:val="24"/>
        </w:rPr>
        <w:t>规范非变性</w:t>
      </w:r>
      <w:r w:rsidR="00C80452" w:rsidRPr="00F60054">
        <w:rPr>
          <w:rFonts w:hint="eastAsia"/>
          <w:color w:val="000000"/>
          <w:sz w:val="24"/>
          <w:szCs w:val="24"/>
        </w:rPr>
        <w:t>II</w:t>
      </w:r>
      <w:r w:rsidR="00C80452" w:rsidRPr="00F60054">
        <w:rPr>
          <w:rFonts w:hint="eastAsia"/>
          <w:color w:val="000000"/>
          <w:sz w:val="24"/>
          <w:szCs w:val="24"/>
        </w:rPr>
        <w:t>型质量</w:t>
      </w:r>
      <w:r w:rsidR="00C80452">
        <w:rPr>
          <w:rFonts w:hint="eastAsia"/>
          <w:color w:val="000000"/>
          <w:sz w:val="24"/>
          <w:szCs w:val="24"/>
        </w:rPr>
        <w:t>的</w:t>
      </w:r>
      <w:r w:rsidR="00C80452" w:rsidRPr="00F60054">
        <w:rPr>
          <w:rFonts w:hint="eastAsia"/>
          <w:color w:val="000000"/>
          <w:sz w:val="24"/>
          <w:szCs w:val="24"/>
        </w:rPr>
        <w:t>行业标准</w:t>
      </w:r>
      <w:r w:rsidR="00C80452">
        <w:rPr>
          <w:rFonts w:hint="eastAsia"/>
          <w:color w:val="000000"/>
          <w:sz w:val="24"/>
          <w:szCs w:val="24"/>
        </w:rPr>
        <w:t>，</w:t>
      </w:r>
      <w:r w:rsidRPr="00F60054">
        <w:rPr>
          <w:rFonts w:hint="eastAsia"/>
          <w:color w:val="000000"/>
          <w:sz w:val="24"/>
          <w:szCs w:val="24"/>
        </w:rPr>
        <w:t>无法满足当前我国非变性</w:t>
      </w:r>
      <w:r w:rsidRPr="00F60054">
        <w:rPr>
          <w:rFonts w:hint="eastAsia"/>
          <w:color w:val="000000"/>
          <w:sz w:val="24"/>
          <w:szCs w:val="24"/>
        </w:rPr>
        <w:t>II</w:t>
      </w:r>
      <w:r w:rsidRPr="00F60054">
        <w:rPr>
          <w:rFonts w:hint="eastAsia"/>
          <w:color w:val="000000"/>
          <w:sz w:val="24"/>
          <w:szCs w:val="24"/>
        </w:rPr>
        <w:t>型胶原蛋白产业发展的需要，</w:t>
      </w:r>
      <w:r w:rsidR="00C80452">
        <w:rPr>
          <w:rFonts w:hint="eastAsia"/>
          <w:color w:val="000000"/>
          <w:sz w:val="24"/>
          <w:szCs w:val="24"/>
        </w:rPr>
        <w:t>因此急需制定本标准</w:t>
      </w:r>
      <w:r w:rsidR="00E15FED" w:rsidRPr="002055DE">
        <w:rPr>
          <w:rFonts w:hint="eastAsia"/>
          <w:color w:val="000000"/>
          <w:sz w:val="24"/>
          <w:szCs w:val="24"/>
        </w:rPr>
        <w:t>。</w:t>
      </w:r>
    </w:p>
    <w:p w14:paraId="0164844E" w14:textId="19024941" w:rsidR="00282016" w:rsidRDefault="00000000" w:rsidP="002055DE">
      <w:pPr>
        <w:pStyle w:val="1"/>
        <w:spacing w:before="156" w:after="156"/>
      </w:pPr>
      <w:bookmarkStart w:id="55" w:name="_Toc176255803"/>
      <w:r w:rsidRPr="002055DE">
        <w:lastRenderedPageBreak/>
        <w:t>五、</w:t>
      </w:r>
      <w:r w:rsidRPr="002055DE">
        <w:t xml:space="preserve"> </w:t>
      </w:r>
      <w:r w:rsidRPr="002055DE">
        <w:t>以国际标准为基础的起草情况，以及是否合规引用或者采用国际国外标准，并说明未采用国际标准的原因</w:t>
      </w:r>
      <w:bookmarkEnd w:id="55"/>
    </w:p>
    <w:p w14:paraId="3C0186B4" w14:textId="264FCDB0" w:rsidR="00144D78" w:rsidRPr="00D32F3B" w:rsidRDefault="0089732B" w:rsidP="0089732B">
      <w:pPr>
        <w:pStyle w:val="ab"/>
        <w:spacing w:line="360" w:lineRule="auto"/>
        <w:ind w:firstLineChars="200" w:firstLine="480"/>
        <w:rPr>
          <w:color w:val="000000"/>
          <w:sz w:val="24"/>
          <w:szCs w:val="24"/>
        </w:rPr>
      </w:pPr>
      <w:r>
        <w:rPr>
          <w:rFonts w:hint="eastAsia"/>
          <w:color w:val="000000"/>
          <w:sz w:val="24"/>
          <w:szCs w:val="24"/>
        </w:rPr>
        <w:t>目前并</w:t>
      </w:r>
      <w:r w:rsidR="00002584">
        <w:rPr>
          <w:rFonts w:hint="eastAsia"/>
          <w:color w:val="000000"/>
          <w:sz w:val="24"/>
          <w:szCs w:val="24"/>
        </w:rPr>
        <w:t>无</w:t>
      </w:r>
      <w:r>
        <w:rPr>
          <w:rFonts w:hint="eastAsia"/>
          <w:color w:val="000000"/>
          <w:sz w:val="24"/>
          <w:szCs w:val="24"/>
        </w:rPr>
        <w:t>相关的国际标准，无法引用或采用</w:t>
      </w:r>
      <w:r w:rsidR="00892C20" w:rsidRPr="002055DE">
        <w:rPr>
          <w:rFonts w:hint="eastAsia"/>
          <w:color w:val="000000"/>
          <w:sz w:val="24"/>
          <w:szCs w:val="24"/>
        </w:rPr>
        <w:t>。</w:t>
      </w:r>
    </w:p>
    <w:p w14:paraId="5D0801FD" w14:textId="0F39EB38" w:rsidR="00282016" w:rsidRDefault="00000000">
      <w:pPr>
        <w:pStyle w:val="1"/>
        <w:spacing w:before="156" w:after="156"/>
      </w:pPr>
      <w:bookmarkStart w:id="56" w:name="_Toc176255804"/>
      <w:r>
        <w:t>六、与现行法律、行政法规及相关标准的关系</w:t>
      </w:r>
      <w:bookmarkEnd w:id="56"/>
    </w:p>
    <w:p w14:paraId="17413FE2" w14:textId="77777777" w:rsidR="00282016" w:rsidRDefault="00000000">
      <w:pPr>
        <w:spacing w:line="360" w:lineRule="auto"/>
      </w:pPr>
      <w:r>
        <w:rPr>
          <w:sz w:val="24"/>
        </w:rPr>
        <w:t xml:space="preserve">    </w:t>
      </w:r>
      <w:r>
        <w:rPr>
          <w:sz w:val="24"/>
        </w:rPr>
        <w:t>本项标准草案与有关的现行法律、法规和强制性国家标准无矛盾、冲突关系。</w:t>
      </w:r>
    </w:p>
    <w:p w14:paraId="3D3C91BA" w14:textId="77777777" w:rsidR="00282016" w:rsidRDefault="00000000">
      <w:pPr>
        <w:pStyle w:val="1"/>
        <w:spacing w:before="156" w:after="156"/>
      </w:pPr>
      <w:bookmarkStart w:id="57" w:name="_Toc176255805"/>
      <w:r>
        <w:t>七、</w:t>
      </w:r>
      <w:r>
        <w:t xml:space="preserve"> </w:t>
      </w:r>
      <w:r>
        <w:t>重大分歧意见的处理经过和依据</w:t>
      </w:r>
      <w:bookmarkEnd w:id="57"/>
    </w:p>
    <w:p w14:paraId="57AF5121" w14:textId="56888CD6" w:rsidR="00282016" w:rsidRDefault="008632FE">
      <w:pPr>
        <w:spacing w:line="360" w:lineRule="auto"/>
        <w:ind w:firstLine="482"/>
        <w:rPr>
          <w:sz w:val="24"/>
        </w:rPr>
      </w:pPr>
      <w:r>
        <w:rPr>
          <w:rFonts w:hint="eastAsia"/>
          <w:sz w:val="24"/>
        </w:rPr>
        <w:t>无重大分歧意见</w:t>
      </w:r>
      <w:r>
        <w:rPr>
          <w:sz w:val="24"/>
        </w:rPr>
        <w:t>。</w:t>
      </w:r>
    </w:p>
    <w:p w14:paraId="7BC8408B" w14:textId="77777777" w:rsidR="00282016" w:rsidRDefault="00000000">
      <w:pPr>
        <w:pStyle w:val="1"/>
        <w:spacing w:before="156" w:after="156"/>
      </w:pPr>
      <w:bookmarkStart w:id="58" w:name="_Toc176255806"/>
      <w:r>
        <w:t>八、涉及专利的有关说明</w:t>
      </w:r>
      <w:bookmarkEnd w:id="58"/>
    </w:p>
    <w:p w14:paraId="4C61015E" w14:textId="77777777" w:rsidR="00282016" w:rsidRDefault="00000000">
      <w:pPr>
        <w:spacing w:line="360" w:lineRule="auto"/>
        <w:ind w:firstLineChars="200" w:firstLine="480"/>
        <w:rPr>
          <w:bCs/>
          <w:color w:val="000000"/>
          <w:sz w:val="24"/>
          <w:szCs w:val="28"/>
        </w:rPr>
      </w:pPr>
      <w:r>
        <w:rPr>
          <w:bCs/>
          <w:color w:val="000000"/>
          <w:sz w:val="24"/>
          <w:szCs w:val="28"/>
        </w:rPr>
        <w:t>本标准不涉及相关专利。</w:t>
      </w:r>
    </w:p>
    <w:p w14:paraId="407E4A24" w14:textId="45424956" w:rsidR="00282016" w:rsidRDefault="00000000">
      <w:pPr>
        <w:pStyle w:val="1"/>
        <w:spacing w:before="156" w:after="156"/>
      </w:pPr>
      <w:bookmarkStart w:id="59" w:name="_Toc176255807"/>
      <w:r>
        <w:t>九、实施标准的要求，以及组织措施、技术措施、过渡期和实施日期的建议等措施建议</w:t>
      </w:r>
      <w:bookmarkEnd w:id="59"/>
    </w:p>
    <w:p w14:paraId="2A8EF57B" w14:textId="496C39DD" w:rsidR="0016321A" w:rsidRDefault="0016321A">
      <w:pPr>
        <w:spacing w:line="360" w:lineRule="auto"/>
        <w:ind w:firstLineChars="200" w:firstLine="480"/>
        <w:rPr>
          <w:sz w:val="24"/>
        </w:rPr>
      </w:pPr>
      <w:r w:rsidRPr="0016321A">
        <w:rPr>
          <w:rFonts w:hint="eastAsia"/>
          <w:sz w:val="24"/>
        </w:rPr>
        <w:t>本标准的制定任务来源于工业和信息化部</w:t>
      </w:r>
      <w:r w:rsidRPr="0016321A">
        <w:rPr>
          <w:rFonts w:hint="eastAsia"/>
          <w:sz w:val="24"/>
        </w:rPr>
        <w:t>2023</w:t>
      </w:r>
      <w:r w:rsidRPr="0016321A">
        <w:rPr>
          <w:rFonts w:hint="eastAsia"/>
          <w:sz w:val="24"/>
        </w:rPr>
        <w:t>年下达的第一批行业标准制定通知（工信厅科〔</w:t>
      </w:r>
      <w:r w:rsidRPr="0016321A">
        <w:rPr>
          <w:rFonts w:hint="eastAsia"/>
          <w:sz w:val="24"/>
        </w:rPr>
        <w:t>2023</w:t>
      </w:r>
      <w:r w:rsidRPr="0016321A">
        <w:rPr>
          <w:rFonts w:hint="eastAsia"/>
          <w:sz w:val="24"/>
        </w:rPr>
        <w:t>〕</w:t>
      </w:r>
      <w:r w:rsidRPr="0016321A">
        <w:rPr>
          <w:rFonts w:hint="eastAsia"/>
          <w:sz w:val="24"/>
        </w:rPr>
        <w:t>18</w:t>
      </w:r>
      <w:r w:rsidRPr="0016321A">
        <w:rPr>
          <w:rFonts w:hint="eastAsia"/>
          <w:sz w:val="24"/>
        </w:rPr>
        <w:t>号）中《非变性</w:t>
      </w:r>
      <w:r w:rsidRPr="0016321A">
        <w:rPr>
          <w:rFonts w:hint="eastAsia"/>
          <w:sz w:val="24"/>
        </w:rPr>
        <w:t>II</w:t>
      </w:r>
      <w:r w:rsidRPr="0016321A">
        <w:rPr>
          <w:rFonts w:hint="eastAsia"/>
          <w:sz w:val="24"/>
        </w:rPr>
        <w:t>型胶原蛋白》项目（计划号为</w:t>
      </w:r>
      <w:r w:rsidRPr="0016321A">
        <w:rPr>
          <w:rFonts w:hint="eastAsia"/>
          <w:sz w:val="24"/>
        </w:rPr>
        <w:t>2023-0500T-QB</w:t>
      </w:r>
      <w:r w:rsidRPr="0016321A">
        <w:rPr>
          <w:rFonts w:hint="eastAsia"/>
          <w:sz w:val="24"/>
        </w:rPr>
        <w:t>）。该标准归口单位为全国食品工业标准化技术委员会。</w:t>
      </w:r>
    </w:p>
    <w:p w14:paraId="3F71B230" w14:textId="6AE970FF" w:rsidR="00F519DE" w:rsidRPr="00ED1EEF" w:rsidRDefault="00000000" w:rsidP="00ED1EEF">
      <w:pPr>
        <w:spacing w:line="360" w:lineRule="auto"/>
        <w:ind w:firstLineChars="200" w:firstLine="480"/>
        <w:rPr>
          <w:bCs/>
          <w:color w:val="000000"/>
          <w:sz w:val="24"/>
          <w:szCs w:val="28"/>
        </w:rPr>
      </w:pPr>
      <w:r>
        <w:rPr>
          <w:bCs/>
          <w:color w:val="000000"/>
          <w:sz w:val="24"/>
          <w:szCs w:val="28"/>
        </w:rPr>
        <w:t>如果本标准被批准并发布，为了贯彻好本标准，使其有效发挥作用，建议在标准发布后，在相关</w:t>
      </w:r>
      <w:r w:rsidR="0016321A">
        <w:rPr>
          <w:rFonts w:hint="eastAsia"/>
          <w:bCs/>
          <w:color w:val="000000"/>
          <w:sz w:val="24"/>
          <w:szCs w:val="28"/>
        </w:rPr>
        <w:t>企业</w:t>
      </w:r>
      <w:r>
        <w:rPr>
          <w:bCs/>
          <w:color w:val="000000"/>
          <w:sz w:val="24"/>
          <w:szCs w:val="28"/>
        </w:rPr>
        <w:t>和检测机构进行宣传和贯彻，并组织有关部门和人员进行学习和培训。在贯彻该标准时应严格</w:t>
      </w:r>
      <w:r w:rsidR="001E78B6">
        <w:rPr>
          <w:rFonts w:hint="eastAsia"/>
          <w:bCs/>
          <w:color w:val="000000"/>
          <w:sz w:val="24"/>
          <w:szCs w:val="28"/>
        </w:rPr>
        <w:t>执行有关规定</w:t>
      </w:r>
      <w:r>
        <w:rPr>
          <w:bCs/>
          <w:color w:val="000000"/>
          <w:sz w:val="24"/>
          <w:szCs w:val="28"/>
        </w:rPr>
        <w:t>，保证标准的规范性和权威性。标准批准、正式发布后，由</w:t>
      </w:r>
      <w:r w:rsidR="001E78B6">
        <w:rPr>
          <w:rFonts w:hint="eastAsia"/>
          <w:bCs/>
          <w:color w:val="000000"/>
          <w:sz w:val="24"/>
          <w:szCs w:val="28"/>
        </w:rPr>
        <w:t>中国标准化研究院</w:t>
      </w:r>
      <w:r>
        <w:rPr>
          <w:bCs/>
          <w:color w:val="000000"/>
          <w:sz w:val="24"/>
          <w:szCs w:val="28"/>
        </w:rPr>
        <w:t>等标准起草单位举办标准宣贯会。</w:t>
      </w:r>
    </w:p>
    <w:p w14:paraId="17FD7CD7" w14:textId="3B5780F8" w:rsidR="00282016" w:rsidRDefault="00000000">
      <w:pPr>
        <w:pStyle w:val="1"/>
        <w:numPr>
          <w:ilvl w:val="255"/>
          <w:numId w:val="0"/>
        </w:numPr>
        <w:spacing w:before="156" w:after="156"/>
      </w:pPr>
      <w:bookmarkStart w:id="60" w:name="_Toc176255808"/>
      <w:r>
        <w:t>十、其他应当说明的事项。</w:t>
      </w:r>
      <w:bookmarkEnd w:id="60"/>
    </w:p>
    <w:p w14:paraId="6D129715" w14:textId="5F929316" w:rsidR="00282016" w:rsidRDefault="00000000" w:rsidP="00034E13">
      <w:pPr>
        <w:spacing w:line="360" w:lineRule="auto"/>
        <w:ind w:firstLineChars="200" w:firstLine="420"/>
        <w:rPr>
          <w:sz w:val="24"/>
        </w:rPr>
      </w:pPr>
      <w:r>
        <w:t xml:space="preserve">  </w:t>
      </w:r>
      <w:r>
        <w:rPr>
          <w:sz w:val="24"/>
        </w:rPr>
        <w:t>无</w:t>
      </w:r>
      <w:r w:rsidR="00B15CBB">
        <w:rPr>
          <w:rFonts w:hint="eastAsia"/>
          <w:sz w:val="24"/>
        </w:rPr>
        <w:t>。</w:t>
      </w:r>
    </w:p>
    <w:p w14:paraId="72C8D0D5" w14:textId="77777777" w:rsidR="00F519DE" w:rsidRDefault="00F519DE" w:rsidP="00F519DE">
      <w:pPr>
        <w:pStyle w:val="ab"/>
      </w:pPr>
    </w:p>
    <w:p w14:paraId="379A48FB" w14:textId="77777777" w:rsidR="00F519DE" w:rsidRDefault="00F519DE" w:rsidP="00F519DE">
      <w:pPr>
        <w:pStyle w:val="ab"/>
      </w:pPr>
    </w:p>
    <w:p w14:paraId="3D3E4A0E" w14:textId="77777777" w:rsidR="00F519DE" w:rsidRPr="00F519DE" w:rsidRDefault="00F519DE" w:rsidP="00F519DE">
      <w:pPr>
        <w:pStyle w:val="ab"/>
      </w:pPr>
    </w:p>
    <w:p w14:paraId="7D3AE614" w14:textId="2A5C86A5" w:rsidR="00282016" w:rsidRDefault="00000000">
      <w:pPr>
        <w:spacing w:line="360" w:lineRule="auto"/>
        <w:jc w:val="right"/>
        <w:rPr>
          <w:sz w:val="24"/>
        </w:rPr>
      </w:pPr>
      <w:r>
        <w:rPr>
          <w:sz w:val="24"/>
        </w:rPr>
        <w:t>《</w:t>
      </w:r>
      <w:r w:rsidR="00034E13" w:rsidRPr="00034E13">
        <w:rPr>
          <w:rFonts w:hint="eastAsia"/>
          <w:sz w:val="24"/>
        </w:rPr>
        <w:t>非变性</w:t>
      </w:r>
      <w:r w:rsidR="00034E13" w:rsidRPr="00034E13">
        <w:rPr>
          <w:rFonts w:hint="eastAsia"/>
          <w:sz w:val="24"/>
        </w:rPr>
        <w:t>II</w:t>
      </w:r>
      <w:r w:rsidR="00034E13" w:rsidRPr="00034E13">
        <w:rPr>
          <w:rFonts w:hint="eastAsia"/>
          <w:sz w:val="24"/>
        </w:rPr>
        <w:t>型胶原蛋白</w:t>
      </w:r>
      <w:r>
        <w:rPr>
          <w:sz w:val="24"/>
        </w:rPr>
        <w:t>》</w:t>
      </w:r>
      <w:r w:rsidR="00034E13">
        <w:rPr>
          <w:rFonts w:hint="eastAsia"/>
          <w:sz w:val="24"/>
        </w:rPr>
        <w:t>行业</w:t>
      </w:r>
      <w:r>
        <w:rPr>
          <w:sz w:val="24"/>
        </w:rPr>
        <w:t>标准起草工作组</w:t>
      </w:r>
    </w:p>
    <w:p w14:paraId="57998B5E" w14:textId="146F6E9F" w:rsidR="00282016" w:rsidRDefault="00000000">
      <w:pPr>
        <w:pStyle w:val="ab"/>
        <w:jc w:val="right"/>
        <w:rPr>
          <w:sz w:val="24"/>
          <w:szCs w:val="24"/>
        </w:rPr>
      </w:pPr>
      <w:r>
        <w:rPr>
          <w:sz w:val="24"/>
          <w:szCs w:val="24"/>
        </w:rPr>
        <w:t>202</w:t>
      </w:r>
      <w:r w:rsidR="00B15CBB">
        <w:rPr>
          <w:rFonts w:hint="eastAsia"/>
          <w:sz w:val="24"/>
          <w:szCs w:val="24"/>
        </w:rPr>
        <w:t>4</w:t>
      </w:r>
      <w:r>
        <w:rPr>
          <w:sz w:val="24"/>
          <w:szCs w:val="24"/>
        </w:rPr>
        <w:t>年</w:t>
      </w:r>
      <w:r w:rsidR="003D5CBA">
        <w:rPr>
          <w:rFonts w:hint="eastAsia"/>
          <w:sz w:val="24"/>
          <w:szCs w:val="24"/>
        </w:rPr>
        <w:t>9</w:t>
      </w:r>
      <w:r>
        <w:rPr>
          <w:sz w:val="24"/>
          <w:szCs w:val="24"/>
        </w:rPr>
        <w:t>月</w:t>
      </w:r>
      <w:r w:rsidR="003D5CBA">
        <w:rPr>
          <w:rFonts w:hint="eastAsia"/>
          <w:sz w:val="24"/>
          <w:szCs w:val="24"/>
        </w:rPr>
        <w:t>3</w:t>
      </w:r>
      <w:r>
        <w:rPr>
          <w:sz w:val="24"/>
          <w:szCs w:val="24"/>
        </w:rPr>
        <w:t>日</w:t>
      </w:r>
    </w:p>
    <w:sectPr w:rsidR="00282016">
      <w:footerReference w:type="default" r:id="rId9"/>
      <w:pgSz w:w="11906" w:h="16838"/>
      <w:pgMar w:top="1440" w:right="1797" w:bottom="1440" w:left="1797" w:header="851" w:footer="992" w:gutter="0"/>
      <w:pgNumType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4FF60" w14:textId="77777777" w:rsidR="00F1387E" w:rsidRDefault="00F1387E">
      <w:r>
        <w:separator/>
      </w:r>
    </w:p>
  </w:endnote>
  <w:endnote w:type="continuationSeparator" w:id="0">
    <w:p w14:paraId="21C51EF5" w14:textId="77777777" w:rsidR="00F1387E" w:rsidRDefault="00F1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dobe 黑体 Std R">
    <w:altName w:val="黑体"/>
    <w:charset w:val="86"/>
    <w:family w:val="roman"/>
    <w:pitch w:val="default"/>
    <w:sig w:usb0="00000000" w:usb1="00000000" w:usb2="00000016" w:usb3="00000000" w:csb0="0006000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haris SIL">
    <w:altName w:val="Cambria"/>
    <w:charset w:val="00"/>
    <w:family w:val="roman"/>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F6B98" w14:textId="77777777" w:rsidR="00282016" w:rsidRDefault="00000000">
    <w:pPr>
      <w:pStyle w:val="af8"/>
      <w:jc w:val="center"/>
    </w:pPr>
    <w:r>
      <w:fldChar w:fldCharType="begin"/>
    </w:r>
    <w:r>
      <w:instrText xml:space="preserve"> PAGE   \* MERGEFORMAT </w:instrText>
    </w:r>
    <w:r>
      <w:fldChar w:fldCharType="separate"/>
    </w:r>
    <w:r>
      <w:rPr>
        <w:lang w:val="zh-CN"/>
      </w:rPr>
      <w:t>2</w:t>
    </w:r>
    <w:r>
      <w:fldChar w:fldCharType="end"/>
    </w:r>
  </w:p>
  <w:p w14:paraId="6DFF671B" w14:textId="77777777" w:rsidR="00282016" w:rsidRDefault="002820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BEC35" w14:textId="77777777" w:rsidR="00F1387E" w:rsidRDefault="00F1387E">
      <w:r>
        <w:separator/>
      </w:r>
    </w:p>
  </w:footnote>
  <w:footnote w:type="continuationSeparator" w:id="0">
    <w:p w14:paraId="40C729F1" w14:textId="77777777" w:rsidR="00F1387E" w:rsidRDefault="00F13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F7113"/>
    <w:multiLevelType w:val="multilevel"/>
    <w:tmpl w:val="2A8F7113"/>
    <w:lvl w:ilvl="0">
      <w:start w:val="1"/>
      <w:numFmt w:val="upperLetter"/>
      <w:pStyle w:val="a"/>
      <w:suff w:val="space"/>
      <w:lvlText w:val="%1"/>
      <w:lvlJc w:val="left"/>
      <w:pPr>
        <w:ind w:left="623" w:hanging="425"/>
      </w:pPr>
      <w:rPr>
        <w:rFonts w:hint="eastAsia"/>
      </w:rPr>
    </w:lvl>
    <w:lvl w:ilvl="1">
      <w:start w:val="1"/>
      <w:numFmt w:val="decimal"/>
      <w:pStyle w:val="a0"/>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 w15:restartNumberingAfterBreak="0">
    <w:nsid w:val="62F34D36"/>
    <w:multiLevelType w:val="hybridMultilevel"/>
    <w:tmpl w:val="A80447A6"/>
    <w:lvl w:ilvl="0" w:tplc="2DA44E2E">
      <w:start w:val="1"/>
      <w:numFmt w:val="decimal"/>
      <w:pStyle w:val="a1"/>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46260FA"/>
    <w:multiLevelType w:val="multilevel"/>
    <w:tmpl w:val="646260FA"/>
    <w:lvl w:ilvl="0">
      <w:start w:val="1"/>
      <w:numFmt w:val="decimal"/>
      <w:pStyle w:val="a2"/>
      <w:suff w:val="nothing"/>
      <w:lvlText w:val="表%1　"/>
      <w:lvlJc w:val="left"/>
      <w:pPr>
        <w:ind w:left="5103" w:firstLine="0"/>
      </w:pPr>
      <w:rPr>
        <w:rFonts w:ascii="黑体" w:eastAsia="黑体" w:hAnsi="Times New Roman" w:hint="eastAsia"/>
        <w:b w:val="0"/>
        <w:i w:val="0"/>
        <w:sz w:val="21"/>
      </w:rPr>
    </w:lvl>
    <w:lvl w:ilvl="1">
      <w:start w:val="1"/>
      <w:numFmt w:val="decimal"/>
      <w:lvlText w:val="%1.%2"/>
      <w:lvlJc w:val="left"/>
      <w:pPr>
        <w:tabs>
          <w:tab w:val="left" w:pos="6095"/>
        </w:tabs>
        <w:ind w:left="6095" w:hanging="567"/>
      </w:pPr>
      <w:rPr>
        <w:rFonts w:hint="eastAsia"/>
      </w:rPr>
    </w:lvl>
    <w:lvl w:ilvl="2">
      <w:start w:val="1"/>
      <w:numFmt w:val="decimal"/>
      <w:lvlText w:val="%1.%2.%3"/>
      <w:lvlJc w:val="left"/>
      <w:pPr>
        <w:tabs>
          <w:tab w:val="left" w:pos="6521"/>
        </w:tabs>
        <w:ind w:left="6521" w:hanging="567"/>
      </w:pPr>
      <w:rPr>
        <w:rFonts w:hint="eastAsia"/>
      </w:rPr>
    </w:lvl>
    <w:lvl w:ilvl="3">
      <w:start w:val="1"/>
      <w:numFmt w:val="decimal"/>
      <w:lvlText w:val="%1.%2.%3.%4"/>
      <w:lvlJc w:val="left"/>
      <w:pPr>
        <w:tabs>
          <w:tab w:val="left" w:pos="7087"/>
        </w:tabs>
        <w:ind w:left="7087" w:hanging="708"/>
      </w:pPr>
      <w:rPr>
        <w:rFonts w:hint="eastAsia"/>
      </w:rPr>
    </w:lvl>
    <w:lvl w:ilvl="4">
      <w:start w:val="1"/>
      <w:numFmt w:val="decimal"/>
      <w:lvlText w:val="%1.%2.%3.%4.%5"/>
      <w:lvlJc w:val="left"/>
      <w:pPr>
        <w:tabs>
          <w:tab w:val="left" w:pos="7654"/>
        </w:tabs>
        <w:ind w:left="7654" w:hanging="850"/>
      </w:pPr>
      <w:rPr>
        <w:rFonts w:hint="eastAsia"/>
      </w:rPr>
    </w:lvl>
    <w:lvl w:ilvl="5">
      <w:start w:val="1"/>
      <w:numFmt w:val="decimal"/>
      <w:lvlText w:val="%1.%2.%3.%4.%5.%6"/>
      <w:lvlJc w:val="left"/>
      <w:pPr>
        <w:tabs>
          <w:tab w:val="left" w:pos="8363"/>
        </w:tabs>
        <w:ind w:left="8363" w:hanging="1134"/>
      </w:pPr>
      <w:rPr>
        <w:rFonts w:hint="eastAsia"/>
      </w:rPr>
    </w:lvl>
    <w:lvl w:ilvl="6">
      <w:start w:val="1"/>
      <w:numFmt w:val="decimal"/>
      <w:lvlText w:val="%1.%2.%3.%4.%5.%6.%7"/>
      <w:lvlJc w:val="left"/>
      <w:pPr>
        <w:tabs>
          <w:tab w:val="left" w:pos="8930"/>
        </w:tabs>
        <w:ind w:left="8930" w:hanging="1276"/>
      </w:pPr>
      <w:rPr>
        <w:rFonts w:hint="eastAsia"/>
      </w:rPr>
    </w:lvl>
    <w:lvl w:ilvl="7">
      <w:start w:val="1"/>
      <w:numFmt w:val="decimal"/>
      <w:lvlText w:val="%1.%2.%3.%4.%5.%6.%7.%8"/>
      <w:lvlJc w:val="left"/>
      <w:pPr>
        <w:tabs>
          <w:tab w:val="left" w:pos="9497"/>
        </w:tabs>
        <w:ind w:left="9497" w:hanging="1418"/>
      </w:pPr>
      <w:rPr>
        <w:rFonts w:hint="eastAsia"/>
      </w:rPr>
    </w:lvl>
    <w:lvl w:ilvl="8">
      <w:start w:val="1"/>
      <w:numFmt w:val="decimal"/>
      <w:lvlText w:val="%1.%2.%3.%4.%5.%6.%7.%8.%9"/>
      <w:lvlJc w:val="left"/>
      <w:pPr>
        <w:tabs>
          <w:tab w:val="left" w:pos="10205"/>
        </w:tabs>
        <w:ind w:left="10205" w:hanging="1700"/>
      </w:pPr>
      <w:rPr>
        <w:rFonts w:hint="eastAsia"/>
      </w:rPr>
    </w:lvl>
  </w:abstractNum>
  <w:abstractNum w:abstractNumId="3" w15:restartNumberingAfterBreak="0">
    <w:nsid w:val="6A2238B4"/>
    <w:multiLevelType w:val="singleLevel"/>
    <w:tmpl w:val="6A2238B4"/>
    <w:lvl w:ilvl="0">
      <w:start w:val="3"/>
      <w:numFmt w:val="chineseCounting"/>
      <w:suff w:val="nothing"/>
      <w:lvlText w:val="%1、"/>
      <w:lvlJc w:val="left"/>
      <w:rPr>
        <w:rFonts w:hint="eastAsia"/>
      </w:rPr>
    </w:lvl>
  </w:abstractNum>
  <w:abstractNum w:abstractNumId="4" w15:restartNumberingAfterBreak="0">
    <w:nsid w:val="6CEA2025"/>
    <w:multiLevelType w:val="multilevel"/>
    <w:tmpl w:val="6CEA2025"/>
    <w:lvl w:ilvl="0">
      <w:start w:val="1"/>
      <w:numFmt w:val="none"/>
      <w:pStyle w:val="a3"/>
      <w:suff w:val="nothing"/>
      <w:lvlText w:val="%1"/>
      <w:lvlJc w:val="left"/>
      <w:pPr>
        <w:ind w:left="0" w:firstLine="0"/>
      </w:pPr>
      <w:rPr>
        <w:rFonts w:hint="eastAsia"/>
      </w:rPr>
    </w:lvl>
    <w:lvl w:ilvl="1">
      <w:start w:val="1"/>
      <w:numFmt w:val="decimal"/>
      <w:pStyle w:val="a4"/>
      <w:suff w:val="nothing"/>
      <w:lvlText w:val="%1%2　"/>
      <w:lvlJc w:val="left"/>
      <w:pPr>
        <w:ind w:left="709" w:firstLine="0"/>
      </w:pPr>
      <w:rPr>
        <w:rFonts w:ascii="黑体" w:eastAsia="黑体" w:hint="eastAsia"/>
        <w:b w:val="0"/>
        <w:i w:val="0"/>
        <w:sz w:val="21"/>
      </w:rPr>
    </w:lvl>
    <w:lvl w:ilvl="2">
      <w:start w:val="1"/>
      <w:numFmt w:val="decimal"/>
      <w:pStyle w:val="a5"/>
      <w:suff w:val="nothing"/>
      <w:lvlText w:val="%1%2.%3　"/>
      <w:lvlJc w:val="left"/>
      <w:pPr>
        <w:ind w:left="284"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6"/>
      <w:suff w:val="nothing"/>
      <w:lvlText w:val="%1%2.%3.%4　"/>
      <w:lvlJc w:val="left"/>
      <w:pPr>
        <w:ind w:left="2127" w:firstLine="0"/>
      </w:pPr>
      <w:rPr>
        <w:rFonts w:ascii="黑体" w:eastAsia="黑体" w:hint="eastAsia"/>
        <w:b w:val="0"/>
        <w:i w:val="0"/>
        <w:sz w:val="21"/>
      </w:rPr>
    </w:lvl>
    <w:lvl w:ilvl="4">
      <w:start w:val="1"/>
      <w:numFmt w:val="decimal"/>
      <w:pStyle w:val="a7"/>
      <w:suff w:val="nothing"/>
      <w:lvlText w:val="%1%2.%3.%4.%5　"/>
      <w:lvlJc w:val="left"/>
      <w:pPr>
        <w:ind w:left="992" w:firstLine="0"/>
      </w:pPr>
      <w:rPr>
        <w:rFonts w:ascii="黑体" w:eastAsia="黑体" w:hint="eastAsia"/>
        <w:b w:val="0"/>
        <w:i w:val="0"/>
        <w:sz w:val="21"/>
      </w:rPr>
    </w:lvl>
    <w:lvl w:ilvl="5">
      <w:start w:val="1"/>
      <w:numFmt w:val="decimal"/>
      <w:pStyle w:val="a8"/>
      <w:suff w:val="nothing"/>
      <w:lvlText w:val="%1%2.%3.%4.%5.%6　"/>
      <w:lvlJc w:val="left"/>
      <w:pPr>
        <w:ind w:left="0" w:firstLine="0"/>
      </w:pPr>
      <w:rPr>
        <w:rFonts w:ascii="黑体" w:eastAsia="黑体" w:hint="eastAsia"/>
        <w:b w:val="0"/>
        <w:i w:val="0"/>
        <w:sz w:val="21"/>
      </w:rPr>
    </w:lvl>
    <w:lvl w:ilvl="6">
      <w:start w:val="1"/>
      <w:numFmt w:val="decimal"/>
      <w:pStyle w:val="a9"/>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5" w15:restartNumberingAfterBreak="0">
    <w:nsid w:val="6EA456A6"/>
    <w:multiLevelType w:val="multilevel"/>
    <w:tmpl w:val="6EA456A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66591880">
    <w:abstractNumId w:val="2"/>
  </w:num>
  <w:num w:numId="2" w16cid:durableId="1295135457">
    <w:abstractNumId w:val="0"/>
  </w:num>
  <w:num w:numId="3" w16cid:durableId="1422725929">
    <w:abstractNumId w:val="5"/>
  </w:num>
  <w:num w:numId="4" w16cid:durableId="1245721307">
    <w:abstractNumId w:val="3"/>
  </w:num>
  <w:num w:numId="5" w16cid:durableId="1126968969">
    <w:abstractNumId w:val="4"/>
  </w:num>
  <w:num w:numId="6" w16cid:durableId="491486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E5MTc2ZTUyZmUwMDVhODUzMTNjN2U2ODUwMDEzY2IifQ=="/>
  </w:docVars>
  <w:rsids>
    <w:rsidRoot w:val="001122C0"/>
    <w:rsid w:val="00000ACD"/>
    <w:rsid w:val="00000FCF"/>
    <w:rsid w:val="00001151"/>
    <w:rsid w:val="00002584"/>
    <w:rsid w:val="00002592"/>
    <w:rsid w:val="00003D79"/>
    <w:rsid w:val="00003F4D"/>
    <w:rsid w:val="000047E6"/>
    <w:rsid w:val="00004E1D"/>
    <w:rsid w:val="000061F2"/>
    <w:rsid w:val="000072F4"/>
    <w:rsid w:val="00013DD4"/>
    <w:rsid w:val="00013E38"/>
    <w:rsid w:val="00014930"/>
    <w:rsid w:val="000161ED"/>
    <w:rsid w:val="00016B68"/>
    <w:rsid w:val="00017FA2"/>
    <w:rsid w:val="00021B7E"/>
    <w:rsid w:val="0002229A"/>
    <w:rsid w:val="00022800"/>
    <w:rsid w:val="0002283A"/>
    <w:rsid w:val="00023D33"/>
    <w:rsid w:val="000242BB"/>
    <w:rsid w:val="00025BC0"/>
    <w:rsid w:val="0002697C"/>
    <w:rsid w:val="000275D8"/>
    <w:rsid w:val="000277A8"/>
    <w:rsid w:val="00027B57"/>
    <w:rsid w:val="00027F03"/>
    <w:rsid w:val="000328C9"/>
    <w:rsid w:val="000338A4"/>
    <w:rsid w:val="0003426F"/>
    <w:rsid w:val="00034E13"/>
    <w:rsid w:val="00035A05"/>
    <w:rsid w:val="000376F0"/>
    <w:rsid w:val="00040537"/>
    <w:rsid w:val="0004102F"/>
    <w:rsid w:val="00045738"/>
    <w:rsid w:val="00045A94"/>
    <w:rsid w:val="00045AA9"/>
    <w:rsid w:val="00045AB6"/>
    <w:rsid w:val="00046DA0"/>
    <w:rsid w:val="00047D10"/>
    <w:rsid w:val="00047DFC"/>
    <w:rsid w:val="00050427"/>
    <w:rsid w:val="00051231"/>
    <w:rsid w:val="0005145D"/>
    <w:rsid w:val="00053594"/>
    <w:rsid w:val="00054063"/>
    <w:rsid w:val="000558A0"/>
    <w:rsid w:val="00056150"/>
    <w:rsid w:val="000561E7"/>
    <w:rsid w:val="0005680C"/>
    <w:rsid w:val="00056E34"/>
    <w:rsid w:val="00056F93"/>
    <w:rsid w:val="00057D06"/>
    <w:rsid w:val="00057F24"/>
    <w:rsid w:val="000604B3"/>
    <w:rsid w:val="00060C52"/>
    <w:rsid w:val="0006165E"/>
    <w:rsid w:val="000641DF"/>
    <w:rsid w:val="0006530F"/>
    <w:rsid w:val="00065900"/>
    <w:rsid w:val="00065D14"/>
    <w:rsid w:val="00065D6B"/>
    <w:rsid w:val="0006724B"/>
    <w:rsid w:val="000701D3"/>
    <w:rsid w:val="0007381F"/>
    <w:rsid w:val="00074DE4"/>
    <w:rsid w:val="00075B20"/>
    <w:rsid w:val="000773A7"/>
    <w:rsid w:val="00077C4B"/>
    <w:rsid w:val="0008052F"/>
    <w:rsid w:val="00081A76"/>
    <w:rsid w:val="00081A9A"/>
    <w:rsid w:val="00082E8F"/>
    <w:rsid w:val="0008398D"/>
    <w:rsid w:val="000840D8"/>
    <w:rsid w:val="0008434D"/>
    <w:rsid w:val="0008488F"/>
    <w:rsid w:val="000848E6"/>
    <w:rsid w:val="00084D1C"/>
    <w:rsid w:val="000877F9"/>
    <w:rsid w:val="00087A6B"/>
    <w:rsid w:val="00087E68"/>
    <w:rsid w:val="000917EA"/>
    <w:rsid w:val="00091F09"/>
    <w:rsid w:val="00093291"/>
    <w:rsid w:val="000935E5"/>
    <w:rsid w:val="00093BD5"/>
    <w:rsid w:val="000953F8"/>
    <w:rsid w:val="000967DF"/>
    <w:rsid w:val="000A0071"/>
    <w:rsid w:val="000A26A1"/>
    <w:rsid w:val="000A2802"/>
    <w:rsid w:val="000A35C1"/>
    <w:rsid w:val="000A39F6"/>
    <w:rsid w:val="000A413E"/>
    <w:rsid w:val="000A5553"/>
    <w:rsid w:val="000A6181"/>
    <w:rsid w:val="000A7314"/>
    <w:rsid w:val="000A7794"/>
    <w:rsid w:val="000A7C7F"/>
    <w:rsid w:val="000A7D69"/>
    <w:rsid w:val="000A7D8B"/>
    <w:rsid w:val="000B0987"/>
    <w:rsid w:val="000B0AF8"/>
    <w:rsid w:val="000B1679"/>
    <w:rsid w:val="000B1907"/>
    <w:rsid w:val="000B282E"/>
    <w:rsid w:val="000B457D"/>
    <w:rsid w:val="000B4B47"/>
    <w:rsid w:val="000B508B"/>
    <w:rsid w:val="000B71FF"/>
    <w:rsid w:val="000C0BC9"/>
    <w:rsid w:val="000C0C7D"/>
    <w:rsid w:val="000C17D1"/>
    <w:rsid w:val="000C221C"/>
    <w:rsid w:val="000C23E7"/>
    <w:rsid w:val="000C269E"/>
    <w:rsid w:val="000C2BC3"/>
    <w:rsid w:val="000C2CC2"/>
    <w:rsid w:val="000C38A2"/>
    <w:rsid w:val="000C3C5E"/>
    <w:rsid w:val="000C458D"/>
    <w:rsid w:val="000C64F8"/>
    <w:rsid w:val="000C6715"/>
    <w:rsid w:val="000C7303"/>
    <w:rsid w:val="000C73AB"/>
    <w:rsid w:val="000D0D8F"/>
    <w:rsid w:val="000D1509"/>
    <w:rsid w:val="000D17BA"/>
    <w:rsid w:val="000D1811"/>
    <w:rsid w:val="000D195A"/>
    <w:rsid w:val="000D2117"/>
    <w:rsid w:val="000D2929"/>
    <w:rsid w:val="000D2DD1"/>
    <w:rsid w:val="000D3027"/>
    <w:rsid w:val="000D3417"/>
    <w:rsid w:val="000D46AF"/>
    <w:rsid w:val="000D4F39"/>
    <w:rsid w:val="000D5BA6"/>
    <w:rsid w:val="000D652F"/>
    <w:rsid w:val="000D6753"/>
    <w:rsid w:val="000E058E"/>
    <w:rsid w:val="000E0675"/>
    <w:rsid w:val="000E06F9"/>
    <w:rsid w:val="000E26A0"/>
    <w:rsid w:val="000E273D"/>
    <w:rsid w:val="000E2E8B"/>
    <w:rsid w:val="000E3095"/>
    <w:rsid w:val="000E3736"/>
    <w:rsid w:val="000E3AB7"/>
    <w:rsid w:val="000E4995"/>
    <w:rsid w:val="000E4BB0"/>
    <w:rsid w:val="000E5EC0"/>
    <w:rsid w:val="000E6551"/>
    <w:rsid w:val="000E65D2"/>
    <w:rsid w:val="000E6CF2"/>
    <w:rsid w:val="000E7AC5"/>
    <w:rsid w:val="000E7F73"/>
    <w:rsid w:val="000F0561"/>
    <w:rsid w:val="000F1BA9"/>
    <w:rsid w:val="000F2506"/>
    <w:rsid w:val="000F2755"/>
    <w:rsid w:val="000F3606"/>
    <w:rsid w:val="000F44DE"/>
    <w:rsid w:val="000F47C0"/>
    <w:rsid w:val="000F4C56"/>
    <w:rsid w:val="000F4E43"/>
    <w:rsid w:val="000F5F98"/>
    <w:rsid w:val="000F60B6"/>
    <w:rsid w:val="000F6634"/>
    <w:rsid w:val="00100243"/>
    <w:rsid w:val="001014A9"/>
    <w:rsid w:val="00101548"/>
    <w:rsid w:val="00104E40"/>
    <w:rsid w:val="0010544A"/>
    <w:rsid w:val="00106B49"/>
    <w:rsid w:val="0011179C"/>
    <w:rsid w:val="001122C0"/>
    <w:rsid w:val="00112D8F"/>
    <w:rsid w:val="00112F6B"/>
    <w:rsid w:val="0011486B"/>
    <w:rsid w:val="001148CB"/>
    <w:rsid w:val="00114DAE"/>
    <w:rsid w:val="001150ED"/>
    <w:rsid w:val="001157E6"/>
    <w:rsid w:val="00116C5E"/>
    <w:rsid w:val="0011700D"/>
    <w:rsid w:val="00117576"/>
    <w:rsid w:val="00117FE0"/>
    <w:rsid w:val="0012018E"/>
    <w:rsid w:val="00120C94"/>
    <w:rsid w:val="00121783"/>
    <w:rsid w:val="00124FC9"/>
    <w:rsid w:val="00125616"/>
    <w:rsid w:val="00126158"/>
    <w:rsid w:val="00126F22"/>
    <w:rsid w:val="001273EF"/>
    <w:rsid w:val="00127C8B"/>
    <w:rsid w:val="0013041D"/>
    <w:rsid w:val="00130B2A"/>
    <w:rsid w:val="00130F8B"/>
    <w:rsid w:val="001337F1"/>
    <w:rsid w:val="001345D1"/>
    <w:rsid w:val="0013574C"/>
    <w:rsid w:val="001361BF"/>
    <w:rsid w:val="00136523"/>
    <w:rsid w:val="00136676"/>
    <w:rsid w:val="00136AE4"/>
    <w:rsid w:val="00137405"/>
    <w:rsid w:val="001406B9"/>
    <w:rsid w:val="001409F3"/>
    <w:rsid w:val="0014170E"/>
    <w:rsid w:val="00141A60"/>
    <w:rsid w:val="00142E77"/>
    <w:rsid w:val="00143E77"/>
    <w:rsid w:val="00144D78"/>
    <w:rsid w:val="0014590C"/>
    <w:rsid w:val="00145EE3"/>
    <w:rsid w:val="001469A6"/>
    <w:rsid w:val="00147453"/>
    <w:rsid w:val="00147F44"/>
    <w:rsid w:val="001500FD"/>
    <w:rsid w:val="001509AA"/>
    <w:rsid w:val="00152634"/>
    <w:rsid w:val="00152EA2"/>
    <w:rsid w:val="00153AC6"/>
    <w:rsid w:val="00153BB9"/>
    <w:rsid w:val="00156F95"/>
    <w:rsid w:val="0016321A"/>
    <w:rsid w:val="00163B54"/>
    <w:rsid w:val="00165E8B"/>
    <w:rsid w:val="001664E1"/>
    <w:rsid w:val="00166855"/>
    <w:rsid w:val="00170383"/>
    <w:rsid w:val="001706BC"/>
    <w:rsid w:val="00170801"/>
    <w:rsid w:val="00170AA9"/>
    <w:rsid w:val="00171240"/>
    <w:rsid w:val="001716E9"/>
    <w:rsid w:val="00172EB2"/>
    <w:rsid w:val="0017447B"/>
    <w:rsid w:val="00174877"/>
    <w:rsid w:val="00175470"/>
    <w:rsid w:val="0017561B"/>
    <w:rsid w:val="00176015"/>
    <w:rsid w:val="00176A67"/>
    <w:rsid w:val="001775B4"/>
    <w:rsid w:val="001803D1"/>
    <w:rsid w:val="001812DE"/>
    <w:rsid w:val="00181F91"/>
    <w:rsid w:val="001839FE"/>
    <w:rsid w:val="00184BB6"/>
    <w:rsid w:val="00186382"/>
    <w:rsid w:val="001875ED"/>
    <w:rsid w:val="00191B8F"/>
    <w:rsid w:val="00193D8C"/>
    <w:rsid w:val="00193F54"/>
    <w:rsid w:val="0019418F"/>
    <w:rsid w:val="001943AC"/>
    <w:rsid w:val="00195519"/>
    <w:rsid w:val="001962D9"/>
    <w:rsid w:val="00196AA9"/>
    <w:rsid w:val="00196B74"/>
    <w:rsid w:val="001A003F"/>
    <w:rsid w:val="001A03BB"/>
    <w:rsid w:val="001A105F"/>
    <w:rsid w:val="001A18CA"/>
    <w:rsid w:val="001A1AA4"/>
    <w:rsid w:val="001A1DF4"/>
    <w:rsid w:val="001A1E06"/>
    <w:rsid w:val="001A21FD"/>
    <w:rsid w:val="001A22BF"/>
    <w:rsid w:val="001A3A9E"/>
    <w:rsid w:val="001A4701"/>
    <w:rsid w:val="001A4703"/>
    <w:rsid w:val="001A5BBE"/>
    <w:rsid w:val="001A5F78"/>
    <w:rsid w:val="001A6197"/>
    <w:rsid w:val="001A66CF"/>
    <w:rsid w:val="001A6791"/>
    <w:rsid w:val="001A6803"/>
    <w:rsid w:val="001A68DB"/>
    <w:rsid w:val="001B0208"/>
    <w:rsid w:val="001B0560"/>
    <w:rsid w:val="001B1473"/>
    <w:rsid w:val="001B172F"/>
    <w:rsid w:val="001B3115"/>
    <w:rsid w:val="001B3350"/>
    <w:rsid w:val="001B3898"/>
    <w:rsid w:val="001B3BDC"/>
    <w:rsid w:val="001B3CF3"/>
    <w:rsid w:val="001B4BDC"/>
    <w:rsid w:val="001B6513"/>
    <w:rsid w:val="001B70C8"/>
    <w:rsid w:val="001B7A9A"/>
    <w:rsid w:val="001B7E69"/>
    <w:rsid w:val="001C41A8"/>
    <w:rsid w:val="001C443C"/>
    <w:rsid w:val="001C4466"/>
    <w:rsid w:val="001C6530"/>
    <w:rsid w:val="001C6A31"/>
    <w:rsid w:val="001C768A"/>
    <w:rsid w:val="001C7A49"/>
    <w:rsid w:val="001D0E38"/>
    <w:rsid w:val="001D1120"/>
    <w:rsid w:val="001D2A12"/>
    <w:rsid w:val="001D4053"/>
    <w:rsid w:val="001D4FA7"/>
    <w:rsid w:val="001D5025"/>
    <w:rsid w:val="001D52B1"/>
    <w:rsid w:val="001D5A29"/>
    <w:rsid w:val="001D60C8"/>
    <w:rsid w:val="001D699A"/>
    <w:rsid w:val="001D779E"/>
    <w:rsid w:val="001D7A48"/>
    <w:rsid w:val="001E002D"/>
    <w:rsid w:val="001E076A"/>
    <w:rsid w:val="001E2138"/>
    <w:rsid w:val="001E2186"/>
    <w:rsid w:val="001E2635"/>
    <w:rsid w:val="001E2AC5"/>
    <w:rsid w:val="001E4E87"/>
    <w:rsid w:val="001E6CB7"/>
    <w:rsid w:val="001E7443"/>
    <w:rsid w:val="001E78B6"/>
    <w:rsid w:val="001E7DF1"/>
    <w:rsid w:val="001F0477"/>
    <w:rsid w:val="001F33D7"/>
    <w:rsid w:val="001F5925"/>
    <w:rsid w:val="001F59AF"/>
    <w:rsid w:val="001F6858"/>
    <w:rsid w:val="001F71E7"/>
    <w:rsid w:val="001F7A97"/>
    <w:rsid w:val="00200B8B"/>
    <w:rsid w:val="00200D6C"/>
    <w:rsid w:val="002055DE"/>
    <w:rsid w:val="002056A1"/>
    <w:rsid w:val="002067BA"/>
    <w:rsid w:val="00206EE7"/>
    <w:rsid w:val="002075A8"/>
    <w:rsid w:val="0021209E"/>
    <w:rsid w:val="00212A0A"/>
    <w:rsid w:val="00214C90"/>
    <w:rsid w:val="00214F51"/>
    <w:rsid w:val="00217CE6"/>
    <w:rsid w:val="002202BA"/>
    <w:rsid w:val="002213DF"/>
    <w:rsid w:val="00224664"/>
    <w:rsid w:val="002248C0"/>
    <w:rsid w:val="002255DB"/>
    <w:rsid w:val="00225815"/>
    <w:rsid w:val="00227962"/>
    <w:rsid w:val="00227B10"/>
    <w:rsid w:val="00230720"/>
    <w:rsid w:val="00232D63"/>
    <w:rsid w:val="0023308E"/>
    <w:rsid w:val="00233C6F"/>
    <w:rsid w:val="00233F73"/>
    <w:rsid w:val="002354EC"/>
    <w:rsid w:val="002402AD"/>
    <w:rsid w:val="00241B6E"/>
    <w:rsid w:val="002421A2"/>
    <w:rsid w:val="002426DB"/>
    <w:rsid w:val="00243A36"/>
    <w:rsid w:val="00243F5F"/>
    <w:rsid w:val="00244194"/>
    <w:rsid w:val="00244C2C"/>
    <w:rsid w:val="002450C0"/>
    <w:rsid w:val="00245DDE"/>
    <w:rsid w:val="00246027"/>
    <w:rsid w:val="00246127"/>
    <w:rsid w:val="00250278"/>
    <w:rsid w:val="0025038E"/>
    <w:rsid w:val="00253747"/>
    <w:rsid w:val="00253879"/>
    <w:rsid w:val="00253A4D"/>
    <w:rsid w:val="0025527B"/>
    <w:rsid w:val="002566DB"/>
    <w:rsid w:val="00256702"/>
    <w:rsid w:val="00260963"/>
    <w:rsid w:val="00260DEE"/>
    <w:rsid w:val="00260DFE"/>
    <w:rsid w:val="00261C17"/>
    <w:rsid w:val="00261D03"/>
    <w:rsid w:val="002646EA"/>
    <w:rsid w:val="00264A2C"/>
    <w:rsid w:val="00266804"/>
    <w:rsid w:val="00267E5A"/>
    <w:rsid w:val="002707E5"/>
    <w:rsid w:val="0027115A"/>
    <w:rsid w:val="0027162B"/>
    <w:rsid w:val="00271710"/>
    <w:rsid w:val="00272F27"/>
    <w:rsid w:val="00273EBC"/>
    <w:rsid w:val="00274131"/>
    <w:rsid w:val="00274170"/>
    <w:rsid w:val="00275EDF"/>
    <w:rsid w:val="002764E6"/>
    <w:rsid w:val="00277692"/>
    <w:rsid w:val="00277A3A"/>
    <w:rsid w:val="00281105"/>
    <w:rsid w:val="002813DB"/>
    <w:rsid w:val="00281A69"/>
    <w:rsid w:val="00282016"/>
    <w:rsid w:val="002821F6"/>
    <w:rsid w:val="00283242"/>
    <w:rsid w:val="0028588F"/>
    <w:rsid w:val="0028631E"/>
    <w:rsid w:val="00286FD5"/>
    <w:rsid w:val="00290243"/>
    <w:rsid w:val="00290292"/>
    <w:rsid w:val="0029184F"/>
    <w:rsid w:val="00291B8C"/>
    <w:rsid w:val="0029287E"/>
    <w:rsid w:val="00292C3A"/>
    <w:rsid w:val="002931B4"/>
    <w:rsid w:val="0029350C"/>
    <w:rsid w:val="00293ABF"/>
    <w:rsid w:val="00293F9D"/>
    <w:rsid w:val="002945AB"/>
    <w:rsid w:val="00294962"/>
    <w:rsid w:val="00296FE2"/>
    <w:rsid w:val="002975D8"/>
    <w:rsid w:val="0029761D"/>
    <w:rsid w:val="00297D75"/>
    <w:rsid w:val="002A04C5"/>
    <w:rsid w:val="002A18FC"/>
    <w:rsid w:val="002A2354"/>
    <w:rsid w:val="002A2560"/>
    <w:rsid w:val="002A66AE"/>
    <w:rsid w:val="002A76EE"/>
    <w:rsid w:val="002B0416"/>
    <w:rsid w:val="002B0E30"/>
    <w:rsid w:val="002B243F"/>
    <w:rsid w:val="002B2BD2"/>
    <w:rsid w:val="002B2EF1"/>
    <w:rsid w:val="002B35CE"/>
    <w:rsid w:val="002B37F7"/>
    <w:rsid w:val="002B39F9"/>
    <w:rsid w:val="002B4D1A"/>
    <w:rsid w:val="002B4D4F"/>
    <w:rsid w:val="002B6F3D"/>
    <w:rsid w:val="002B70EA"/>
    <w:rsid w:val="002B7D4D"/>
    <w:rsid w:val="002B7F8F"/>
    <w:rsid w:val="002C02D9"/>
    <w:rsid w:val="002C0B50"/>
    <w:rsid w:val="002C11D3"/>
    <w:rsid w:val="002C1607"/>
    <w:rsid w:val="002C1742"/>
    <w:rsid w:val="002C1992"/>
    <w:rsid w:val="002C2778"/>
    <w:rsid w:val="002C2D1E"/>
    <w:rsid w:val="002C35C8"/>
    <w:rsid w:val="002C3958"/>
    <w:rsid w:val="002C3F82"/>
    <w:rsid w:val="002C4170"/>
    <w:rsid w:val="002C6BE2"/>
    <w:rsid w:val="002C764F"/>
    <w:rsid w:val="002D08BB"/>
    <w:rsid w:val="002D0CE9"/>
    <w:rsid w:val="002D311D"/>
    <w:rsid w:val="002D3502"/>
    <w:rsid w:val="002D5D5A"/>
    <w:rsid w:val="002D7F7D"/>
    <w:rsid w:val="002E16E6"/>
    <w:rsid w:val="002E219A"/>
    <w:rsid w:val="002E2AAB"/>
    <w:rsid w:val="002E2C62"/>
    <w:rsid w:val="002E335F"/>
    <w:rsid w:val="002E3948"/>
    <w:rsid w:val="002E5315"/>
    <w:rsid w:val="002E6556"/>
    <w:rsid w:val="002E6B4A"/>
    <w:rsid w:val="002E6D16"/>
    <w:rsid w:val="002E709D"/>
    <w:rsid w:val="002E725A"/>
    <w:rsid w:val="002E7DB1"/>
    <w:rsid w:val="002F0134"/>
    <w:rsid w:val="002F03CF"/>
    <w:rsid w:val="002F27E9"/>
    <w:rsid w:val="002F2A37"/>
    <w:rsid w:val="002F3F40"/>
    <w:rsid w:val="002F479B"/>
    <w:rsid w:val="002F4CAD"/>
    <w:rsid w:val="002F4D1F"/>
    <w:rsid w:val="002F6643"/>
    <w:rsid w:val="002F71D8"/>
    <w:rsid w:val="002F7564"/>
    <w:rsid w:val="002F7DB6"/>
    <w:rsid w:val="00301026"/>
    <w:rsid w:val="0030142D"/>
    <w:rsid w:val="00301B23"/>
    <w:rsid w:val="00302C31"/>
    <w:rsid w:val="00303B26"/>
    <w:rsid w:val="0030441E"/>
    <w:rsid w:val="003047B7"/>
    <w:rsid w:val="003066E8"/>
    <w:rsid w:val="00306899"/>
    <w:rsid w:val="0030691B"/>
    <w:rsid w:val="00312465"/>
    <w:rsid w:val="00314541"/>
    <w:rsid w:val="00315154"/>
    <w:rsid w:val="003152D9"/>
    <w:rsid w:val="00315D3F"/>
    <w:rsid w:val="00316AB0"/>
    <w:rsid w:val="00316FEC"/>
    <w:rsid w:val="00317768"/>
    <w:rsid w:val="003179C0"/>
    <w:rsid w:val="00317D27"/>
    <w:rsid w:val="0032047C"/>
    <w:rsid w:val="003209C6"/>
    <w:rsid w:val="00320B02"/>
    <w:rsid w:val="00322462"/>
    <w:rsid w:val="00322D61"/>
    <w:rsid w:val="003246D0"/>
    <w:rsid w:val="00325184"/>
    <w:rsid w:val="0032620A"/>
    <w:rsid w:val="003271B6"/>
    <w:rsid w:val="003279B0"/>
    <w:rsid w:val="0033012D"/>
    <w:rsid w:val="00330F63"/>
    <w:rsid w:val="0033113D"/>
    <w:rsid w:val="00333492"/>
    <w:rsid w:val="0033398C"/>
    <w:rsid w:val="00333F1C"/>
    <w:rsid w:val="003352AB"/>
    <w:rsid w:val="00335423"/>
    <w:rsid w:val="00336A08"/>
    <w:rsid w:val="003376C9"/>
    <w:rsid w:val="00337AAA"/>
    <w:rsid w:val="00337E7F"/>
    <w:rsid w:val="00340029"/>
    <w:rsid w:val="00340776"/>
    <w:rsid w:val="00340B5D"/>
    <w:rsid w:val="00340CB7"/>
    <w:rsid w:val="00341A1B"/>
    <w:rsid w:val="00341DFB"/>
    <w:rsid w:val="00342E60"/>
    <w:rsid w:val="00342EC3"/>
    <w:rsid w:val="00343027"/>
    <w:rsid w:val="00344405"/>
    <w:rsid w:val="00344F23"/>
    <w:rsid w:val="00345FDE"/>
    <w:rsid w:val="00346197"/>
    <w:rsid w:val="00346A27"/>
    <w:rsid w:val="00347E59"/>
    <w:rsid w:val="00350A83"/>
    <w:rsid w:val="003516F1"/>
    <w:rsid w:val="0035298E"/>
    <w:rsid w:val="003529A2"/>
    <w:rsid w:val="003531F7"/>
    <w:rsid w:val="0035417C"/>
    <w:rsid w:val="00355527"/>
    <w:rsid w:val="00355642"/>
    <w:rsid w:val="00355FC7"/>
    <w:rsid w:val="00360131"/>
    <w:rsid w:val="003604E8"/>
    <w:rsid w:val="0036055E"/>
    <w:rsid w:val="003631AA"/>
    <w:rsid w:val="00363B6E"/>
    <w:rsid w:val="0036455E"/>
    <w:rsid w:val="00367B7E"/>
    <w:rsid w:val="0037091F"/>
    <w:rsid w:val="003709F5"/>
    <w:rsid w:val="00370A7F"/>
    <w:rsid w:val="00370BF2"/>
    <w:rsid w:val="00370CCC"/>
    <w:rsid w:val="00370E59"/>
    <w:rsid w:val="00370F9A"/>
    <w:rsid w:val="0037417C"/>
    <w:rsid w:val="00375079"/>
    <w:rsid w:val="0037513E"/>
    <w:rsid w:val="00375E41"/>
    <w:rsid w:val="00376C13"/>
    <w:rsid w:val="003771E7"/>
    <w:rsid w:val="003812F8"/>
    <w:rsid w:val="003826CF"/>
    <w:rsid w:val="00383966"/>
    <w:rsid w:val="003844C3"/>
    <w:rsid w:val="003845A7"/>
    <w:rsid w:val="00386865"/>
    <w:rsid w:val="00386D0A"/>
    <w:rsid w:val="00386F78"/>
    <w:rsid w:val="00386FCB"/>
    <w:rsid w:val="0038740A"/>
    <w:rsid w:val="003903B2"/>
    <w:rsid w:val="003905DA"/>
    <w:rsid w:val="00390BB2"/>
    <w:rsid w:val="0039123C"/>
    <w:rsid w:val="003922C3"/>
    <w:rsid w:val="00392DE6"/>
    <w:rsid w:val="00393A92"/>
    <w:rsid w:val="003957FE"/>
    <w:rsid w:val="003959A4"/>
    <w:rsid w:val="00396BBB"/>
    <w:rsid w:val="003A020A"/>
    <w:rsid w:val="003A1A30"/>
    <w:rsid w:val="003A3256"/>
    <w:rsid w:val="003A38B5"/>
    <w:rsid w:val="003A3DD5"/>
    <w:rsid w:val="003A4BF7"/>
    <w:rsid w:val="003A53D4"/>
    <w:rsid w:val="003A5A6B"/>
    <w:rsid w:val="003A5C22"/>
    <w:rsid w:val="003A753D"/>
    <w:rsid w:val="003A7B66"/>
    <w:rsid w:val="003B096F"/>
    <w:rsid w:val="003B12AD"/>
    <w:rsid w:val="003B2637"/>
    <w:rsid w:val="003B280A"/>
    <w:rsid w:val="003B2E98"/>
    <w:rsid w:val="003B3D34"/>
    <w:rsid w:val="003B5AB6"/>
    <w:rsid w:val="003B68ED"/>
    <w:rsid w:val="003B7187"/>
    <w:rsid w:val="003C0059"/>
    <w:rsid w:val="003C0556"/>
    <w:rsid w:val="003C0BE3"/>
    <w:rsid w:val="003C2053"/>
    <w:rsid w:val="003C314C"/>
    <w:rsid w:val="003C349F"/>
    <w:rsid w:val="003C58F1"/>
    <w:rsid w:val="003C5B2B"/>
    <w:rsid w:val="003D0A22"/>
    <w:rsid w:val="003D1223"/>
    <w:rsid w:val="003D18A9"/>
    <w:rsid w:val="003D2981"/>
    <w:rsid w:val="003D5092"/>
    <w:rsid w:val="003D5167"/>
    <w:rsid w:val="003D5CBA"/>
    <w:rsid w:val="003D5D05"/>
    <w:rsid w:val="003D5F03"/>
    <w:rsid w:val="003E0DC7"/>
    <w:rsid w:val="003E212E"/>
    <w:rsid w:val="003E2693"/>
    <w:rsid w:val="003E2CAF"/>
    <w:rsid w:val="003E30DF"/>
    <w:rsid w:val="003E34C6"/>
    <w:rsid w:val="003E37F1"/>
    <w:rsid w:val="003E3AD6"/>
    <w:rsid w:val="003E55BE"/>
    <w:rsid w:val="003E66B0"/>
    <w:rsid w:val="003F0B89"/>
    <w:rsid w:val="003F11AE"/>
    <w:rsid w:val="003F12DA"/>
    <w:rsid w:val="003F270D"/>
    <w:rsid w:val="003F2DFB"/>
    <w:rsid w:val="003F30F8"/>
    <w:rsid w:val="003F3E0B"/>
    <w:rsid w:val="003F5507"/>
    <w:rsid w:val="003F5DAD"/>
    <w:rsid w:val="003F74AB"/>
    <w:rsid w:val="003F756F"/>
    <w:rsid w:val="003F76CD"/>
    <w:rsid w:val="003F7961"/>
    <w:rsid w:val="00400C84"/>
    <w:rsid w:val="00403292"/>
    <w:rsid w:val="00404241"/>
    <w:rsid w:val="00404D2E"/>
    <w:rsid w:val="00404D6B"/>
    <w:rsid w:val="00405975"/>
    <w:rsid w:val="00411086"/>
    <w:rsid w:val="00412640"/>
    <w:rsid w:val="004127A2"/>
    <w:rsid w:val="00413597"/>
    <w:rsid w:val="004139F4"/>
    <w:rsid w:val="00414B47"/>
    <w:rsid w:val="00415664"/>
    <w:rsid w:val="00415AFD"/>
    <w:rsid w:val="00415F24"/>
    <w:rsid w:val="004160EA"/>
    <w:rsid w:val="0041671E"/>
    <w:rsid w:val="0041673A"/>
    <w:rsid w:val="00421B7A"/>
    <w:rsid w:val="00422E73"/>
    <w:rsid w:val="00423C03"/>
    <w:rsid w:val="00424694"/>
    <w:rsid w:val="00424774"/>
    <w:rsid w:val="004248B9"/>
    <w:rsid w:val="00425593"/>
    <w:rsid w:val="00426AEE"/>
    <w:rsid w:val="004305A3"/>
    <w:rsid w:val="00431533"/>
    <w:rsid w:val="004317CD"/>
    <w:rsid w:val="00431C66"/>
    <w:rsid w:val="00432E6A"/>
    <w:rsid w:val="00433B28"/>
    <w:rsid w:val="00433C40"/>
    <w:rsid w:val="004342DB"/>
    <w:rsid w:val="00436CFA"/>
    <w:rsid w:val="00437658"/>
    <w:rsid w:val="004403EC"/>
    <w:rsid w:val="004405E0"/>
    <w:rsid w:val="0044110B"/>
    <w:rsid w:val="00441A8F"/>
    <w:rsid w:val="004427DD"/>
    <w:rsid w:val="004433B1"/>
    <w:rsid w:val="00443AD5"/>
    <w:rsid w:val="00444165"/>
    <w:rsid w:val="004445D6"/>
    <w:rsid w:val="00444FDE"/>
    <w:rsid w:val="004450C6"/>
    <w:rsid w:val="004457D4"/>
    <w:rsid w:val="004464E1"/>
    <w:rsid w:val="004470A3"/>
    <w:rsid w:val="00450345"/>
    <w:rsid w:val="00451203"/>
    <w:rsid w:val="004519C3"/>
    <w:rsid w:val="004527F2"/>
    <w:rsid w:val="00452FA6"/>
    <w:rsid w:val="004536CB"/>
    <w:rsid w:val="0045418B"/>
    <w:rsid w:val="004549B5"/>
    <w:rsid w:val="004551AD"/>
    <w:rsid w:val="00455ED0"/>
    <w:rsid w:val="0045634A"/>
    <w:rsid w:val="00456967"/>
    <w:rsid w:val="00456AB9"/>
    <w:rsid w:val="00456CF6"/>
    <w:rsid w:val="00456D2C"/>
    <w:rsid w:val="00461577"/>
    <w:rsid w:val="0046194B"/>
    <w:rsid w:val="004620CD"/>
    <w:rsid w:val="00462B98"/>
    <w:rsid w:val="00463EB1"/>
    <w:rsid w:val="00464395"/>
    <w:rsid w:val="00464744"/>
    <w:rsid w:val="0046510D"/>
    <w:rsid w:val="004656A3"/>
    <w:rsid w:val="004666C2"/>
    <w:rsid w:val="00466ED4"/>
    <w:rsid w:val="00467475"/>
    <w:rsid w:val="00470271"/>
    <w:rsid w:val="00470FF2"/>
    <w:rsid w:val="00471CE1"/>
    <w:rsid w:val="004732D4"/>
    <w:rsid w:val="00474A9F"/>
    <w:rsid w:val="00474D72"/>
    <w:rsid w:val="004757B3"/>
    <w:rsid w:val="00476519"/>
    <w:rsid w:val="00481877"/>
    <w:rsid w:val="004835CD"/>
    <w:rsid w:val="00485245"/>
    <w:rsid w:val="0048597F"/>
    <w:rsid w:val="00485E0B"/>
    <w:rsid w:val="0048645E"/>
    <w:rsid w:val="00486B57"/>
    <w:rsid w:val="00487C96"/>
    <w:rsid w:val="00490109"/>
    <w:rsid w:val="00490A91"/>
    <w:rsid w:val="00491849"/>
    <w:rsid w:val="0049453D"/>
    <w:rsid w:val="00494681"/>
    <w:rsid w:val="004947B4"/>
    <w:rsid w:val="00494C19"/>
    <w:rsid w:val="00495818"/>
    <w:rsid w:val="00495828"/>
    <w:rsid w:val="004964D0"/>
    <w:rsid w:val="004974D5"/>
    <w:rsid w:val="004975F4"/>
    <w:rsid w:val="00497D90"/>
    <w:rsid w:val="004A0F59"/>
    <w:rsid w:val="004A20D4"/>
    <w:rsid w:val="004A2E6D"/>
    <w:rsid w:val="004A3CE8"/>
    <w:rsid w:val="004A3E71"/>
    <w:rsid w:val="004A433D"/>
    <w:rsid w:val="004A769C"/>
    <w:rsid w:val="004B06F9"/>
    <w:rsid w:val="004B180C"/>
    <w:rsid w:val="004B19D8"/>
    <w:rsid w:val="004B24AE"/>
    <w:rsid w:val="004B311C"/>
    <w:rsid w:val="004B597D"/>
    <w:rsid w:val="004B5DB4"/>
    <w:rsid w:val="004B7C0C"/>
    <w:rsid w:val="004C042F"/>
    <w:rsid w:val="004C05BC"/>
    <w:rsid w:val="004C16F4"/>
    <w:rsid w:val="004C173A"/>
    <w:rsid w:val="004C31D6"/>
    <w:rsid w:val="004C33FF"/>
    <w:rsid w:val="004C46D2"/>
    <w:rsid w:val="004C51B4"/>
    <w:rsid w:val="004C51BA"/>
    <w:rsid w:val="004C6847"/>
    <w:rsid w:val="004C695C"/>
    <w:rsid w:val="004C6EFD"/>
    <w:rsid w:val="004D05A6"/>
    <w:rsid w:val="004D21E1"/>
    <w:rsid w:val="004D354B"/>
    <w:rsid w:val="004D3D28"/>
    <w:rsid w:val="004D4107"/>
    <w:rsid w:val="004D429A"/>
    <w:rsid w:val="004D639D"/>
    <w:rsid w:val="004D7B8B"/>
    <w:rsid w:val="004D7C48"/>
    <w:rsid w:val="004E05AE"/>
    <w:rsid w:val="004E1AA2"/>
    <w:rsid w:val="004E3AF0"/>
    <w:rsid w:val="004E3FDF"/>
    <w:rsid w:val="004E4116"/>
    <w:rsid w:val="004E435D"/>
    <w:rsid w:val="004E534A"/>
    <w:rsid w:val="004E5351"/>
    <w:rsid w:val="004E63EC"/>
    <w:rsid w:val="004E684C"/>
    <w:rsid w:val="004E690C"/>
    <w:rsid w:val="004F173F"/>
    <w:rsid w:val="004F22DE"/>
    <w:rsid w:val="004F2F58"/>
    <w:rsid w:val="004F3511"/>
    <w:rsid w:val="004F37B2"/>
    <w:rsid w:val="004F391D"/>
    <w:rsid w:val="004F4E82"/>
    <w:rsid w:val="004F53F3"/>
    <w:rsid w:val="004F55B5"/>
    <w:rsid w:val="004F604A"/>
    <w:rsid w:val="004F6391"/>
    <w:rsid w:val="004F7D7A"/>
    <w:rsid w:val="00500049"/>
    <w:rsid w:val="00500474"/>
    <w:rsid w:val="005023E0"/>
    <w:rsid w:val="0050281C"/>
    <w:rsid w:val="00503950"/>
    <w:rsid w:val="00503DB9"/>
    <w:rsid w:val="00504009"/>
    <w:rsid w:val="0050508C"/>
    <w:rsid w:val="00506ED3"/>
    <w:rsid w:val="00510C0D"/>
    <w:rsid w:val="00511A7A"/>
    <w:rsid w:val="00512640"/>
    <w:rsid w:val="00513550"/>
    <w:rsid w:val="00513FD7"/>
    <w:rsid w:val="005147A3"/>
    <w:rsid w:val="00516405"/>
    <w:rsid w:val="0051643B"/>
    <w:rsid w:val="00517D8E"/>
    <w:rsid w:val="00520179"/>
    <w:rsid w:val="0052028C"/>
    <w:rsid w:val="005229A0"/>
    <w:rsid w:val="00522C68"/>
    <w:rsid w:val="0052324F"/>
    <w:rsid w:val="00523345"/>
    <w:rsid w:val="00523877"/>
    <w:rsid w:val="00524E68"/>
    <w:rsid w:val="00525B75"/>
    <w:rsid w:val="00525C89"/>
    <w:rsid w:val="005268E4"/>
    <w:rsid w:val="00526C92"/>
    <w:rsid w:val="00526F02"/>
    <w:rsid w:val="00526F79"/>
    <w:rsid w:val="00527B7C"/>
    <w:rsid w:val="00531E48"/>
    <w:rsid w:val="00532635"/>
    <w:rsid w:val="00533825"/>
    <w:rsid w:val="00534C97"/>
    <w:rsid w:val="005374DA"/>
    <w:rsid w:val="00537884"/>
    <w:rsid w:val="005411F5"/>
    <w:rsid w:val="00542041"/>
    <w:rsid w:val="005430C3"/>
    <w:rsid w:val="00543DF5"/>
    <w:rsid w:val="0054558F"/>
    <w:rsid w:val="00545A03"/>
    <w:rsid w:val="00545B6D"/>
    <w:rsid w:val="00545BFE"/>
    <w:rsid w:val="0054641B"/>
    <w:rsid w:val="0054686D"/>
    <w:rsid w:val="00550FC1"/>
    <w:rsid w:val="00552AC4"/>
    <w:rsid w:val="00552FEB"/>
    <w:rsid w:val="00553A32"/>
    <w:rsid w:val="005540D8"/>
    <w:rsid w:val="0055773D"/>
    <w:rsid w:val="00560C01"/>
    <w:rsid w:val="00561216"/>
    <w:rsid w:val="00561F3D"/>
    <w:rsid w:val="00561FD5"/>
    <w:rsid w:val="005623E2"/>
    <w:rsid w:val="00565D5A"/>
    <w:rsid w:val="00567216"/>
    <w:rsid w:val="005673FD"/>
    <w:rsid w:val="00567CC2"/>
    <w:rsid w:val="00570430"/>
    <w:rsid w:val="005727C8"/>
    <w:rsid w:val="00573E35"/>
    <w:rsid w:val="00574359"/>
    <w:rsid w:val="005747F4"/>
    <w:rsid w:val="00574AD5"/>
    <w:rsid w:val="005751FD"/>
    <w:rsid w:val="005760C3"/>
    <w:rsid w:val="00576EC2"/>
    <w:rsid w:val="00577EEB"/>
    <w:rsid w:val="005815B6"/>
    <w:rsid w:val="0058175C"/>
    <w:rsid w:val="00582C24"/>
    <w:rsid w:val="005834DC"/>
    <w:rsid w:val="00583752"/>
    <w:rsid w:val="005854F3"/>
    <w:rsid w:val="0058680B"/>
    <w:rsid w:val="00586D11"/>
    <w:rsid w:val="005877E2"/>
    <w:rsid w:val="00593A0F"/>
    <w:rsid w:val="00594809"/>
    <w:rsid w:val="0059487B"/>
    <w:rsid w:val="005952FC"/>
    <w:rsid w:val="00595900"/>
    <w:rsid w:val="00595F66"/>
    <w:rsid w:val="00596D19"/>
    <w:rsid w:val="005A21D7"/>
    <w:rsid w:val="005A45C8"/>
    <w:rsid w:val="005A5B81"/>
    <w:rsid w:val="005A7FD1"/>
    <w:rsid w:val="005B0503"/>
    <w:rsid w:val="005B1804"/>
    <w:rsid w:val="005B3612"/>
    <w:rsid w:val="005B4292"/>
    <w:rsid w:val="005B482B"/>
    <w:rsid w:val="005B4EC7"/>
    <w:rsid w:val="005B57D5"/>
    <w:rsid w:val="005B6722"/>
    <w:rsid w:val="005B6BA1"/>
    <w:rsid w:val="005B78FE"/>
    <w:rsid w:val="005C0259"/>
    <w:rsid w:val="005C07D8"/>
    <w:rsid w:val="005C1393"/>
    <w:rsid w:val="005C2854"/>
    <w:rsid w:val="005C4463"/>
    <w:rsid w:val="005C4916"/>
    <w:rsid w:val="005C5190"/>
    <w:rsid w:val="005C51B6"/>
    <w:rsid w:val="005C51C2"/>
    <w:rsid w:val="005C5644"/>
    <w:rsid w:val="005C7221"/>
    <w:rsid w:val="005D3AB8"/>
    <w:rsid w:val="005D4F22"/>
    <w:rsid w:val="005D542B"/>
    <w:rsid w:val="005D55C8"/>
    <w:rsid w:val="005D678A"/>
    <w:rsid w:val="005D73E8"/>
    <w:rsid w:val="005E0A28"/>
    <w:rsid w:val="005E1C74"/>
    <w:rsid w:val="005E1F9A"/>
    <w:rsid w:val="005E263B"/>
    <w:rsid w:val="005E2645"/>
    <w:rsid w:val="005E39C7"/>
    <w:rsid w:val="005E3A94"/>
    <w:rsid w:val="005E4831"/>
    <w:rsid w:val="005E49A6"/>
    <w:rsid w:val="005E6689"/>
    <w:rsid w:val="005E6B66"/>
    <w:rsid w:val="005E7CCC"/>
    <w:rsid w:val="005F1CEA"/>
    <w:rsid w:val="005F3376"/>
    <w:rsid w:val="005F58CC"/>
    <w:rsid w:val="006012C5"/>
    <w:rsid w:val="00602030"/>
    <w:rsid w:val="00602101"/>
    <w:rsid w:val="00602960"/>
    <w:rsid w:val="00602A86"/>
    <w:rsid w:val="00602A99"/>
    <w:rsid w:val="00603FF2"/>
    <w:rsid w:val="00604358"/>
    <w:rsid w:val="00604BF4"/>
    <w:rsid w:val="00604DBA"/>
    <w:rsid w:val="00605A72"/>
    <w:rsid w:val="006113E8"/>
    <w:rsid w:val="0061141D"/>
    <w:rsid w:val="00612BDD"/>
    <w:rsid w:val="0061342D"/>
    <w:rsid w:val="0061344B"/>
    <w:rsid w:val="00613A02"/>
    <w:rsid w:val="0061610E"/>
    <w:rsid w:val="0062138C"/>
    <w:rsid w:val="00621E80"/>
    <w:rsid w:val="00623A36"/>
    <w:rsid w:val="00624F8F"/>
    <w:rsid w:val="00625BB5"/>
    <w:rsid w:val="00626047"/>
    <w:rsid w:val="00626787"/>
    <w:rsid w:val="006271E4"/>
    <w:rsid w:val="00627718"/>
    <w:rsid w:val="00630186"/>
    <w:rsid w:val="00630704"/>
    <w:rsid w:val="00633431"/>
    <w:rsid w:val="00634637"/>
    <w:rsid w:val="0063483F"/>
    <w:rsid w:val="00634D7C"/>
    <w:rsid w:val="00635202"/>
    <w:rsid w:val="00635C4B"/>
    <w:rsid w:val="00637176"/>
    <w:rsid w:val="00637D3F"/>
    <w:rsid w:val="006402C8"/>
    <w:rsid w:val="00640C13"/>
    <w:rsid w:val="00641C81"/>
    <w:rsid w:val="0064274C"/>
    <w:rsid w:val="00642785"/>
    <w:rsid w:val="00645849"/>
    <w:rsid w:val="00645B61"/>
    <w:rsid w:val="006464AE"/>
    <w:rsid w:val="00646787"/>
    <w:rsid w:val="00650700"/>
    <w:rsid w:val="006507BB"/>
    <w:rsid w:val="00651C39"/>
    <w:rsid w:val="006533FD"/>
    <w:rsid w:val="00654B22"/>
    <w:rsid w:val="00654D8C"/>
    <w:rsid w:val="0065624A"/>
    <w:rsid w:val="0065671A"/>
    <w:rsid w:val="00656F3A"/>
    <w:rsid w:val="006605F1"/>
    <w:rsid w:val="00661A7C"/>
    <w:rsid w:val="006624EE"/>
    <w:rsid w:val="006626A7"/>
    <w:rsid w:val="0066310A"/>
    <w:rsid w:val="0066490C"/>
    <w:rsid w:val="00665C50"/>
    <w:rsid w:val="00666C1F"/>
    <w:rsid w:val="00671965"/>
    <w:rsid w:val="00671D96"/>
    <w:rsid w:val="00672576"/>
    <w:rsid w:val="00673730"/>
    <w:rsid w:val="006756F2"/>
    <w:rsid w:val="00676E85"/>
    <w:rsid w:val="006778BA"/>
    <w:rsid w:val="00677CD6"/>
    <w:rsid w:val="00682088"/>
    <w:rsid w:val="00682653"/>
    <w:rsid w:val="00682F03"/>
    <w:rsid w:val="00682F43"/>
    <w:rsid w:val="006832E2"/>
    <w:rsid w:val="00683BDD"/>
    <w:rsid w:val="00683C30"/>
    <w:rsid w:val="00686148"/>
    <w:rsid w:val="00687660"/>
    <w:rsid w:val="00687EB9"/>
    <w:rsid w:val="0069033E"/>
    <w:rsid w:val="0069079D"/>
    <w:rsid w:val="00691FD8"/>
    <w:rsid w:val="006923B6"/>
    <w:rsid w:val="00693A8A"/>
    <w:rsid w:val="00697B4F"/>
    <w:rsid w:val="006A1090"/>
    <w:rsid w:val="006A30BF"/>
    <w:rsid w:val="006A35A1"/>
    <w:rsid w:val="006A4873"/>
    <w:rsid w:val="006A54D9"/>
    <w:rsid w:val="006A56F2"/>
    <w:rsid w:val="006A63B3"/>
    <w:rsid w:val="006A7DB3"/>
    <w:rsid w:val="006A7F28"/>
    <w:rsid w:val="006B0A18"/>
    <w:rsid w:val="006B0E97"/>
    <w:rsid w:val="006B1216"/>
    <w:rsid w:val="006B1A1F"/>
    <w:rsid w:val="006B2055"/>
    <w:rsid w:val="006B5EBE"/>
    <w:rsid w:val="006B6632"/>
    <w:rsid w:val="006C32A3"/>
    <w:rsid w:val="006C33DA"/>
    <w:rsid w:val="006C35F7"/>
    <w:rsid w:val="006C3F02"/>
    <w:rsid w:val="006C5CB1"/>
    <w:rsid w:val="006C5DEA"/>
    <w:rsid w:val="006C5F66"/>
    <w:rsid w:val="006C5F91"/>
    <w:rsid w:val="006C6231"/>
    <w:rsid w:val="006C792A"/>
    <w:rsid w:val="006D036B"/>
    <w:rsid w:val="006D21C8"/>
    <w:rsid w:val="006D2354"/>
    <w:rsid w:val="006D4DEC"/>
    <w:rsid w:val="006D4FF7"/>
    <w:rsid w:val="006D5848"/>
    <w:rsid w:val="006D67AD"/>
    <w:rsid w:val="006E00E8"/>
    <w:rsid w:val="006E0D31"/>
    <w:rsid w:val="006E1EF0"/>
    <w:rsid w:val="006E34C6"/>
    <w:rsid w:val="006E376F"/>
    <w:rsid w:val="006E41AD"/>
    <w:rsid w:val="006E4C56"/>
    <w:rsid w:val="006E52B8"/>
    <w:rsid w:val="006E6ED0"/>
    <w:rsid w:val="006F1043"/>
    <w:rsid w:val="006F2E53"/>
    <w:rsid w:val="006F3030"/>
    <w:rsid w:val="006F389E"/>
    <w:rsid w:val="006F44A9"/>
    <w:rsid w:val="006F4909"/>
    <w:rsid w:val="006F570C"/>
    <w:rsid w:val="006F5777"/>
    <w:rsid w:val="006F5AC9"/>
    <w:rsid w:val="006F5AF2"/>
    <w:rsid w:val="006F5D6C"/>
    <w:rsid w:val="006F5F6A"/>
    <w:rsid w:val="006F6D58"/>
    <w:rsid w:val="006F6FD9"/>
    <w:rsid w:val="006F7F46"/>
    <w:rsid w:val="007008E0"/>
    <w:rsid w:val="00701354"/>
    <w:rsid w:val="00703CDA"/>
    <w:rsid w:val="00704D71"/>
    <w:rsid w:val="00706A54"/>
    <w:rsid w:val="0070772F"/>
    <w:rsid w:val="007135BB"/>
    <w:rsid w:val="0071394A"/>
    <w:rsid w:val="00715791"/>
    <w:rsid w:val="007158C1"/>
    <w:rsid w:val="00715962"/>
    <w:rsid w:val="0071600C"/>
    <w:rsid w:val="00716300"/>
    <w:rsid w:val="0072076B"/>
    <w:rsid w:val="007209DF"/>
    <w:rsid w:val="00725201"/>
    <w:rsid w:val="007253EC"/>
    <w:rsid w:val="007265CB"/>
    <w:rsid w:val="00726D45"/>
    <w:rsid w:val="007278C0"/>
    <w:rsid w:val="007305B3"/>
    <w:rsid w:val="00730861"/>
    <w:rsid w:val="0073112E"/>
    <w:rsid w:val="00731698"/>
    <w:rsid w:val="00732E09"/>
    <w:rsid w:val="00733750"/>
    <w:rsid w:val="00736B72"/>
    <w:rsid w:val="00737383"/>
    <w:rsid w:val="00737682"/>
    <w:rsid w:val="007414E3"/>
    <w:rsid w:val="007417F0"/>
    <w:rsid w:val="00741DA3"/>
    <w:rsid w:val="00742017"/>
    <w:rsid w:val="00742B37"/>
    <w:rsid w:val="00742E7A"/>
    <w:rsid w:val="0074554B"/>
    <w:rsid w:val="00746575"/>
    <w:rsid w:val="00746917"/>
    <w:rsid w:val="0074695A"/>
    <w:rsid w:val="00746976"/>
    <w:rsid w:val="007475D9"/>
    <w:rsid w:val="00750546"/>
    <w:rsid w:val="00750A2C"/>
    <w:rsid w:val="00751052"/>
    <w:rsid w:val="00751284"/>
    <w:rsid w:val="0075315E"/>
    <w:rsid w:val="00755588"/>
    <w:rsid w:val="007558D4"/>
    <w:rsid w:val="00756093"/>
    <w:rsid w:val="0076121C"/>
    <w:rsid w:val="00763716"/>
    <w:rsid w:val="00763FF5"/>
    <w:rsid w:val="00764455"/>
    <w:rsid w:val="00765226"/>
    <w:rsid w:val="00765519"/>
    <w:rsid w:val="00765F84"/>
    <w:rsid w:val="00766AA3"/>
    <w:rsid w:val="00766C73"/>
    <w:rsid w:val="007675D5"/>
    <w:rsid w:val="00770303"/>
    <w:rsid w:val="007705EF"/>
    <w:rsid w:val="00771913"/>
    <w:rsid w:val="00774B38"/>
    <w:rsid w:val="00776A0A"/>
    <w:rsid w:val="00776D8B"/>
    <w:rsid w:val="00776F02"/>
    <w:rsid w:val="007773D3"/>
    <w:rsid w:val="00777D0F"/>
    <w:rsid w:val="007803F4"/>
    <w:rsid w:val="00780B62"/>
    <w:rsid w:val="00781606"/>
    <w:rsid w:val="007820E0"/>
    <w:rsid w:val="007824E0"/>
    <w:rsid w:val="007906E0"/>
    <w:rsid w:val="00791871"/>
    <w:rsid w:val="007933AB"/>
    <w:rsid w:val="00794E4B"/>
    <w:rsid w:val="007960EC"/>
    <w:rsid w:val="007967EF"/>
    <w:rsid w:val="00796984"/>
    <w:rsid w:val="007974E8"/>
    <w:rsid w:val="007A10CF"/>
    <w:rsid w:val="007A160E"/>
    <w:rsid w:val="007A16A6"/>
    <w:rsid w:val="007A47BC"/>
    <w:rsid w:val="007A4F29"/>
    <w:rsid w:val="007A5C8E"/>
    <w:rsid w:val="007B05C2"/>
    <w:rsid w:val="007B0D44"/>
    <w:rsid w:val="007B18A9"/>
    <w:rsid w:val="007B24FD"/>
    <w:rsid w:val="007B30A9"/>
    <w:rsid w:val="007B3AA1"/>
    <w:rsid w:val="007B56F2"/>
    <w:rsid w:val="007B601A"/>
    <w:rsid w:val="007B609D"/>
    <w:rsid w:val="007B6734"/>
    <w:rsid w:val="007B676F"/>
    <w:rsid w:val="007B7271"/>
    <w:rsid w:val="007B74F5"/>
    <w:rsid w:val="007C008D"/>
    <w:rsid w:val="007C01E4"/>
    <w:rsid w:val="007C0991"/>
    <w:rsid w:val="007C15F2"/>
    <w:rsid w:val="007C160F"/>
    <w:rsid w:val="007C1B6A"/>
    <w:rsid w:val="007C1C5C"/>
    <w:rsid w:val="007C1F1E"/>
    <w:rsid w:val="007C30C1"/>
    <w:rsid w:val="007C467F"/>
    <w:rsid w:val="007C4A7E"/>
    <w:rsid w:val="007C4FD6"/>
    <w:rsid w:val="007C6384"/>
    <w:rsid w:val="007D0454"/>
    <w:rsid w:val="007D1C18"/>
    <w:rsid w:val="007D2ACC"/>
    <w:rsid w:val="007D2BF1"/>
    <w:rsid w:val="007D42ED"/>
    <w:rsid w:val="007D7BA8"/>
    <w:rsid w:val="007E0198"/>
    <w:rsid w:val="007E0273"/>
    <w:rsid w:val="007E0EE4"/>
    <w:rsid w:val="007E15AC"/>
    <w:rsid w:val="007E27B4"/>
    <w:rsid w:val="007E7F51"/>
    <w:rsid w:val="007F1D80"/>
    <w:rsid w:val="007F2593"/>
    <w:rsid w:val="007F2A35"/>
    <w:rsid w:val="007F2AE9"/>
    <w:rsid w:val="007F5206"/>
    <w:rsid w:val="007F5629"/>
    <w:rsid w:val="007F56E5"/>
    <w:rsid w:val="007F5D33"/>
    <w:rsid w:val="007F61AB"/>
    <w:rsid w:val="007F6405"/>
    <w:rsid w:val="007F72C7"/>
    <w:rsid w:val="007F7976"/>
    <w:rsid w:val="007F7EC5"/>
    <w:rsid w:val="008004E2"/>
    <w:rsid w:val="00800C42"/>
    <w:rsid w:val="00802CC4"/>
    <w:rsid w:val="00804A1D"/>
    <w:rsid w:val="00804C6D"/>
    <w:rsid w:val="00804F80"/>
    <w:rsid w:val="00806003"/>
    <w:rsid w:val="00806697"/>
    <w:rsid w:val="00806C02"/>
    <w:rsid w:val="00807824"/>
    <w:rsid w:val="00810234"/>
    <w:rsid w:val="0081114D"/>
    <w:rsid w:val="00811B60"/>
    <w:rsid w:val="00812220"/>
    <w:rsid w:val="00812266"/>
    <w:rsid w:val="00812FE3"/>
    <w:rsid w:val="008135AF"/>
    <w:rsid w:val="00813947"/>
    <w:rsid w:val="00813F76"/>
    <w:rsid w:val="00816415"/>
    <w:rsid w:val="00820124"/>
    <w:rsid w:val="00820F48"/>
    <w:rsid w:val="00821451"/>
    <w:rsid w:val="0082149D"/>
    <w:rsid w:val="008219C1"/>
    <w:rsid w:val="00821AEC"/>
    <w:rsid w:val="00822ACC"/>
    <w:rsid w:val="00824527"/>
    <w:rsid w:val="008249C6"/>
    <w:rsid w:val="0082636E"/>
    <w:rsid w:val="0082730C"/>
    <w:rsid w:val="00830132"/>
    <w:rsid w:val="00830F2E"/>
    <w:rsid w:val="0083161B"/>
    <w:rsid w:val="0083242E"/>
    <w:rsid w:val="0083290C"/>
    <w:rsid w:val="0083530F"/>
    <w:rsid w:val="00835835"/>
    <w:rsid w:val="00835A18"/>
    <w:rsid w:val="00837DB4"/>
    <w:rsid w:val="00837F31"/>
    <w:rsid w:val="00840B1F"/>
    <w:rsid w:val="00840BAA"/>
    <w:rsid w:val="00840E4D"/>
    <w:rsid w:val="0084198B"/>
    <w:rsid w:val="00842091"/>
    <w:rsid w:val="0084275E"/>
    <w:rsid w:val="008437F0"/>
    <w:rsid w:val="00843B5F"/>
    <w:rsid w:val="0084462A"/>
    <w:rsid w:val="008465F9"/>
    <w:rsid w:val="00846738"/>
    <w:rsid w:val="00847FE7"/>
    <w:rsid w:val="0085002D"/>
    <w:rsid w:val="00850C9C"/>
    <w:rsid w:val="00851AF7"/>
    <w:rsid w:val="00852295"/>
    <w:rsid w:val="00853995"/>
    <w:rsid w:val="00854B83"/>
    <w:rsid w:val="00855FD1"/>
    <w:rsid w:val="00856040"/>
    <w:rsid w:val="00856724"/>
    <w:rsid w:val="00857ABA"/>
    <w:rsid w:val="00861EBA"/>
    <w:rsid w:val="00862092"/>
    <w:rsid w:val="008620B4"/>
    <w:rsid w:val="0086260A"/>
    <w:rsid w:val="00862E7E"/>
    <w:rsid w:val="008632FE"/>
    <w:rsid w:val="008637DC"/>
    <w:rsid w:val="008642F6"/>
    <w:rsid w:val="00864803"/>
    <w:rsid w:val="008659EE"/>
    <w:rsid w:val="008669D3"/>
    <w:rsid w:val="00870456"/>
    <w:rsid w:val="00871208"/>
    <w:rsid w:val="008737CB"/>
    <w:rsid w:val="00873C9A"/>
    <w:rsid w:val="00874010"/>
    <w:rsid w:val="00874BE4"/>
    <w:rsid w:val="00877009"/>
    <w:rsid w:val="008779E2"/>
    <w:rsid w:val="00880D51"/>
    <w:rsid w:val="00881F15"/>
    <w:rsid w:val="00882E61"/>
    <w:rsid w:val="0088460F"/>
    <w:rsid w:val="00885503"/>
    <w:rsid w:val="008863A9"/>
    <w:rsid w:val="00886F4B"/>
    <w:rsid w:val="00887275"/>
    <w:rsid w:val="008903C7"/>
    <w:rsid w:val="00890545"/>
    <w:rsid w:val="0089254C"/>
    <w:rsid w:val="00892C20"/>
    <w:rsid w:val="00892E65"/>
    <w:rsid w:val="00893329"/>
    <w:rsid w:val="00893B80"/>
    <w:rsid w:val="00894913"/>
    <w:rsid w:val="00897262"/>
    <w:rsid w:val="0089732B"/>
    <w:rsid w:val="00897656"/>
    <w:rsid w:val="0089784D"/>
    <w:rsid w:val="008A06AB"/>
    <w:rsid w:val="008A17AD"/>
    <w:rsid w:val="008A2BD9"/>
    <w:rsid w:val="008A3530"/>
    <w:rsid w:val="008A48B7"/>
    <w:rsid w:val="008A4B62"/>
    <w:rsid w:val="008A4D96"/>
    <w:rsid w:val="008A65CE"/>
    <w:rsid w:val="008A70FB"/>
    <w:rsid w:val="008B04F0"/>
    <w:rsid w:val="008B3DB4"/>
    <w:rsid w:val="008B3FD3"/>
    <w:rsid w:val="008B6059"/>
    <w:rsid w:val="008B6071"/>
    <w:rsid w:val="008B6B88"/>
    <w:rsid w:val="008B7FB4"/>
    <w:rsid w:val="008C09B8"/>
    <w:rsid w:val="008C4319"/>
    <w:rsid w:val="008C56CC"/>
    <w:rsid w:val="008C666C"/>
    <w:rsid w:val="008C674F"/>
    <w:rsid w:val="008C6F9A"/>
    <w:rsid w:val="008D0AE2"/>
    <w:rsid w:val="008D0F37"/>
    <w:rsid w:val="008D1C3C"/>
    <w:rsid w:val="008D1D5E"/>
    <w:rsid w:val="008D1E69"/>
    <w:rsid w:val="008D3EBD"/>
    <w:rsid w:val="008D45CC"/>
    <w:rsid w:val="008D46D0"/>
    <w:rsid w:val="008D649B"/>
    <w:rsid w:val="008E0C4D"/>
    <w:rsid w:val="008E1C16"/>
    <w:rsid w:val="008E242F"/>
    <w:rsid w:val="008E2786"/>
    <w:rsid w:val="008E3C51"/>
    <w:rsid w:val="008E461C"/>
    <w:rsid w:val="008E463A"/>
    <w:rsid w:val="008E49DE"/>
    <w:rsid w:val="008E5230"/>
    <w:rsid w:val="008E6C21"/>
    <w:rsid w:val="008E6F28"/>
    <w:rsid w:val="008E77A9"/>
    <w:rsid w:val="008F16D9"/>
    <w:rsid w:val="008F1F77"/>
    <w:rsid w:val="008F2319"/>
    <w:rsid w:val="008F2CBB"/>
    <w:rsid w:val="008F3047"/>
    <w:rsid w:val="008F3CAA"/>
    <w:rsid w:val="008F3CD2"/>
    <w:rsid w:val="008F53B8"/>
    <w:rsid w:val="008F59F3"/>
    <w:rsid w:val="008F5D1B"/>
    <w:rsid w:val="008F5DF8"/>
    <w:rsid w:val="008F62AD"/>
    <w:rsid w:val="008F7865"/>
    <w:rsid w:val="00900336"/>
    <w:rsid w:val="00900452"/>
    <w:rsid w:val="00901AB1"/>
    <w:rsid w:val="00901E73"/>
    <w:rsid w:val="0090243B"/>
    <w:rsid w:val="00903009"/>
    <w:rsid w:val="00903129"/>
    <w:rsid w:val="00903901"/>
    <w:rsid w:val="00904629"/>
    <w:rsid w:val="00904700"/>
    <w:rsid w:val="00905837"/>
    <w:rsid w:val="00906880"/>
    <w:rsid w:val="009077C5"/>
    <w:rsid w:val="00907F88"/>
    <w:rsid w:val="009115E1"/>
    <w:rsid w:val="00913B63"/>
    <w:rsid w:val="00913EBB"/>
    <w:rsid w:val="00914B1F"/>
    <w:rsid w:val="00915022"/>
    <w:rsid w:val="00915397"/>
    <w:rsid w:val="009158B9"/>
    <w:rsid w:val="00915F89"/>
    <w:rsid w:val="009169D9"/>
    <w:rsid w:val="00916DEB"/>
    <w:rsid w:val="00917771"/>
    <w:rsid w:val="0092118C"/>
    <w:rsid w:val="00922063"/>
    <w:rsid w:val="009230B8"/>
    <w:rsid w:val="0092320C"/>
    <w:rsid w:val="0092355D"/>
    <w:rsid w:val="00924338"/>
    <w:rsid w:val="00925454"/>
    <w:rsid w:val="009260D8"/>
    <w:rsid w:val="00927CE0"/>
    <w:rsid w:val="00927EA8"/>
    <w:rsid w:val="009302E2"/>
    <w:rsid w:val="009320D9"/>
    <w:rsid w:val="00933271"/>
    <w:rsid w:val="00933C24"/>
    <w:rsid w:val="009342D9"/>
    <w:rsid w:val="00934FE8"/>
    <w:rsid w:val="0093535C"/>
    <w:rsid w:val="009358DD"/>
    <w:rsid w:val="00936113"/>
    <w:rsid w:val="009366D1"/>
    <w:rsid w:val="00937403"/>
    <w:rsid w:val="009374E9"/>
    <w:rsid w:val="00937ED1"/>
    <w:rsid w:val="0094119C"/>
    <w:rsid w:val="0094173B"/>
    <w:rsid w:val="0094485A"/>
    <w:rsid w:val="009449F3"/>
    <w:rsid w:val="009459DA"/>
    <w:rsid w:val="00945DDE"/>
    <w:rsid w:val="0094610D"/>
    <w:rsid w:val="00950E8D"/>
    <w:rsid w:val="00951425"/>
    <w:rsid w:val="009520B0"/>
    <w:rsid w:val="009521C8"/>
    <w:rsid w:val="009527D0"/>
    <w:rsid w:val="009539A8"/>
    <w:rsid w:val="00954CC1"/>
    <w:rsid w:val="00956533"/>
    <w:rsid w:val="009570E9"/>
    <w:rsid w:val="00957C67"/>
    <w:rsid w:val="00957EC6"/>
    <w:rsid w:val="00961283"/>
    <w:rsid w:val="00961A55"/>
    <w:rsid w:val="0096263D"/>
    <w:rsid w:val="00964689"/>
    <w:rsid w:val="0096625F"/>
    <w:rsid w:val="00966DD1"/>
    <w:rsid w:val="00967328"/>
    <w:rsid w:val="0097326F"/>
    <w:rsid w:val="0097422D"/>
    <w:rsid w:val="00974D4D"/>
    <w:rsid w:val="009759EC"/>
    <w:rsid w:val="009810ED"/>
    <w:rsid w:val="0098132E"/>
    <w:rsid w:val="009821CC"/>
    <w:rsid w:val="00982CEF"/>
    <w:rsid w:val="0098364D"/>
    <w:rsid w:val="009836C5"/>
    <w:rsid w:val="00990DB0"/>
    <w:rsid w:val="00991BBC"/>
    <w:rsid w:val="009939BE"/>
    <w:rsid w:val="00993CDE"/>
    <w:rsid w:val="00993D82"/>
    <w:rsid w:val="00995BDF"/>
    <w:rsid w:val="00995CA5"/>
    <w:rsid w:val="0099661C"/>
    <w:rsid w:val="00997142"/>
    <w:rsid w:val="0099760F"/>
    <w:rsid w:val="00997761"/>
    <w:rsid w:val="009A10BE"/>
    <w:rsid w:val="009A18E5"/>
    <w:rsid w:val="009A239C"/>
    <w:rsid w:val="009A2618"/>
    <w:rsid w:val="009A26C2"/>
    <w:rsid w:val="009A3F32"/>
    <w:rsid w:val="009A458A"/>
    <w:rsid w:val="009A4B60"/>
    <w:rsid w:val="009A4D3C"/>
    <w:rsid w:val="009A52D4"/>
    <w:rsid w:val="009A589D"/>
    <w:rsid w:val="009B013F"/>
    <w:rsid w:val="009B0343"/>
    <w:rsid w:val="009B0CA2"/>
    <w:rsid w:val="009B1BF0"/>
    <w:rsid w:val="009B31FC"/>
    <w:rsid w:val="009B35FD"/>
    <w:rsid w:val="009B7665"/>
    <w:rsid w:val="009C09E7"/>
    <w:rsid w:val="009C0BFD"/>
    <w:rsid w:val="009C24D8"/>
    <w:rsid w:val="009C2BE8"/>
    <w:rsid w:val="009C3C95"/>
    <w:rsid w:val="009C525E"/>
    <w:rsid w:val="009C56D1"/>
    <w:rsid w:val="009C5CCE"/>
    <w:rsid w:val="009C66D6"/>
    <w:rsid w:val="009C7701"/>
    <w:rsid w:val="009D15FD"/>
    <w:rsid w:val="009D278C"/>
    <w:rsid w:val="009D34A4"/>
    <w:rsid w:val="009D4779"/>
    <w:rsid w:val="009D594E"/>
    <w:rsid w:val="009D6D6E"/>
    <w:rsid w:val="009D7D6E"/>
    <w:rsid w:val="009E1849"/>
    <w:rsid w:val="009E1D02"/>
    <w:rsid w:val="009E22AF"/>
    <w:rsid w:val="009E36D7"/>
    <w:rsid w:val="009E4245"/>
    <w:rsid w:val="009E4383"/>
    <w:rsid w:val="009E4411"/>
    <w:rsid w:val="009E5038"/>
    <w:rsid w:val="009E53F7"/>
    <w:rsid w:val="009E5A98"/>
    <w:rsid w:val="009E6293"/>
    <w:rsid w:val="009F1391"/>
    <w:rsid w:val="009F164F"/>
    <w:rsid w:val="009F26F9"/>
    <w:rsid w:val="009F3094"/>
    <w:rsid w:val="009F3261"/>
    <w:rsid w:val="009F3C42"/>
    <w:rsid w:val="009F533C"/>
    <w:rsid w:val="009F69FD"/>
    <w:rsid w:val="009F78EE"/>
    <w:rsid w:val="00A003A7"/>
    <w:rsid w:val="00A01B14"/>
    <w:rsid w:val="00A01E05"/>
    <w:rsid w:val="00A0272C"/>
    <w:rsid w:val="00A02D25"/>
    <w:rsid w:val="00A03D1B"/>
    <w:rsid w:val="00A041BC"/>
    <w:rsid w:val="00A04D0B"/>
    <w:rsid w:val="00A05C13"/>
    <w:rsid w:val="00A061B1"/>
    <w:rsid w:val="00A10389"/>
    <w:rsid w:val="00A105A3"/>
    <w:rsid w:val="00A110DE"/>
    <w:rsid w:val="00A115AF"/>
    <w:rsid w:val="00A125E2"/>
    <w:rsid w:val="00A13985"/>
    <w:rsid w:val="00A14E3C"/>
    <w:rsid w:val="00A206D3"/>
    <w:rsid w:val="00A22089"/>
    <w:rsid w:val="00A25C60"/>
    <w:rsid w:val="00A25F44"/>
    <w:rsid w:val="00A27054"/>
    <w:rsid w:val="00A31D7C"/>
    <w:rsid w:val="00A32FE4"/>
    <w:rsid w:val="00A332DF"/>
    <w:rsid w:val="00A352CF"/>
    <w:rsid w:val="00A355FD"/>
    <w:rsid w:val="00A3581F"/>
    <w:rsid w:val="00A3690F"/>
    <w:rsid w:val="00A408F5"/>
    <w:rsid w:val="00A40DDE"/>
    <w:rsid w:val="00A419F4"/>
    <w:rsid w:val="00A4307C"/>
    <w:rsid w:val="00A4440F"/>
    <w:rsid w:val="00A44C5A"/>
    <w:rsid w:val="00A4557C"/>
    <w:rsid w:val="00A45CEE"/>
    <w:rsid w:val="00A45EDE"/>
    <w:rsid w:val="00A465C0"/>
    <w:rsid w:val="00A46CBE"/>
    <w:rsid w:val="00A46D0E"/>
    <w:rsid w:val="00A47072"/>
    <w:rsid w:val="00A50527"/>
    <w:rsid w:val="00A50790"/>
    <w:rsid w:val="00A50843"/>
    <w:rsid w:val="00A51705"/>
    <w:rsid w:val="00A53C42"/>
    <w:rsid w:val="00A544D3"/>
    <w:rsid w:val="00A55166"/>
    <w:rsid w:val="00A555BB"/>
    <w:rsid w:val="00A55880"/>
    <w:rsid w:val="00A56B1E"/>
    <w:rsid w:val="00A5756B"/>
    <w:rsid w:val="00A60E0E"/>
    <w:rsid w:val="00A6145F"/>
    <w:rsid w:val="00A63C19"/>
    <w:rsid w:val="00A64349"/>
    <w:rsid w:val="00A64556"/>
    <w:rsid w:val="00A66370"/>
    <w:rsid w:val="00A66809"/>
    <w:rsid w:val="00A67074"/>
    <w:rsid w:val="00A711B3"/>
    <w:rsid w:val="00A71AB1"/>
    <w:rsid w:val="00A76439"/>
    <w:rsid w:val="00A76D89"/>
    <w:rsid w:val="00A7728D"/>
    <w:rsid w:val="00A776A6"/>
    <w:rsid w:val="00A77C4C"/>
    <w:rsid w:val="00A80076"/>
    <w:rsid w:val="00A81AC4"/>
    <w:rsid w:val="00A81C29"/>
    <w:rsid w:val="00A820BA"/>
    <w:rsid w:val="00A82A9F"/>
    <w:rsid w:val="00A835F7"/>
    <w:rsid w:val="00A84ECA"/>
    <w:rsid w:val="00A8568A"/>
    <w:rsid w:val="00A85F94"/>
    <w:rsid w:val="00A865D9"/>
    <w:rsid w:val="00A8684C"/>
    <w:rsid w:val="00A86DCD"/>
    <w:rsid w:val="00A91E7E"/>
    <w:rsid w:val="00A9255E"/>
    <w:rsid w:val="00A93AA7"/>
    <w:rsid w:val="00A94444"/>
    <w:rsid w:val="00A95D19"/>
    <w:rsid w:val="00A961CC"/>
    <w:rsid w:val="00A9632E"/>
    <w:rsid w:val="00A9651E"/>
    <w:rsid w:val="00A96AB2"/>
    <w:rsid w:val="00A9742D"/>
    <w:rsid w:val="00AA19A7"/>
    <w:rsid w:val="00AA2FF8"/>
    <w:rsid w:val="00AA324A"/>
    <w:rsid w:val="00AA33F8"/>
    <w:rsid w:val="00AA35BD"/>
    <w:rsid w:val="00AA37D1"/>
    <w:rsid w:val="00AA534A"/>
    <w:rsid w:val="00AA59C2"/>
    <w:rsid w:val="00AA77B8"/>
    <w:rsid w:val="00AA7A85"/>
    <w:rsid w:val="00AB0C44"/>
    <w:rsid w:val="00AB0CCD"/>
    <w:rsid w:val="00AB1FE7"/>
    <w:rsid w:val="00AB3100"/>
    <w:rsid w:val="00AB3480"/>
    <w:rsid w:val="00AB3CDF"/>
    <w:rsid w:val="00AB51CF"/>
    <w:rsid w:val="00AB5A1E"/>
    <w:rsid w:val="00AB6495"/>
    <w:rsid w:val="00AC099E"/>
    <w:rsid w:val="00AC0E3E"/>
    <w:rsid w:val="00AC11BC"/>
    <w:rsid w:val="00AC23A7"/>
    <w:rsid w:val="00AC2996"/>
    <w:rsid w:val="00AC4B41"/>
    <w:rsid w:val="00AC5087"/>
    <w:rsid w:val="00AC5328"/>
    <w:rsid w:val="00AC5807"/>
    <w:rsid w:val="00AC5B7E"/>
    <w:rsid w:val="00AC63EA"/>
    <w:rsid w:val="00AC7BBB"/>
    <w:rsid w:val="00AD1910"/>
    <w:rsid w:val="00AD2FF4"/>
    <w:rsid w:val="00AD32C4"/>
    <w:rsid w:val="00AD374A"/>
    <w:rsid w:val="00AD66F7"/>
    <w:rsid w:val="00AD709D"/>
    <w:rsid w:val="00AD721E"/>
    <w:rsid w:val="00AE045C"/>
    <w:rsid w:val="00AE04F2"/>
    <w:rsid w:val="00AE09D8"/>
    <w:rsid w:val="00AE0B0E"/>
    <w:rsid w:val="00AE0CA7"/>
    <w:rsid w:val="00AE1580"/>
    <w:rsid w:val="00AE436F"/>
    <w:rsid w:val="00AE4389"/>
    <w:rsid w:val="00AE51B0"/>
    <w:rsid w:val="00AE7BBC"/>
    <w:rsid w:val="00AF1FB8"/>
    <w:rsid w:val="00AF4ACC"/>
    <w:rsid w:val="00AF597E"/>
    <w:rsid w:val="00AF6C1A"/>
    <w:rsid w:val="00AF6F2B"/>
    <w:rsid w:val="00AF751A"/>
    <w:rsid w:val="00AF769D"/>
    <w:rsid w:val="00AF78D4"/>
    <w:rsid w:val="00B00EEC"/>
    <w:rsid w:val="00B01D6A"/>
    <w:rsid w:val="00B02583"/>
    <w:rsid w:val="00B02A61"/>
    <w:rsid w:val="00B03D17"/>
    <w:rsid w:val="00B05EF2"/>
    <w:rsid w:val="00B064DE"/>
    <w:rsid w:val="00B06C9F"/>
    <w:rsid w:val="00B06FB1"/>
    <w:rsid w:val="00B077D2"/>
    <w:rsid w:val="00B07A0D"/>
    <w:rsid w:val="00B102D9"/>
    <w:rsid w:val="00B115E7"/>
    <w:rsid w:val="00B126AB"/>
    <w:rsid w:val="00B12D13"/>
    <w:rsid w:val="00B13F87"/>
    <w:rsid w:val="00B14653"/>
    <w:rsid w:val="00B1479A"/>
    <w:rsid w:val="00B14846"/>
    <w:rsid w:val="00B1503C"/>
    <w:rsid w:val="00B153EC"/>
    <w:rsid w:val="00B15CBB"/>
    <w:rsid w:val="00B2074E"/>
    <w:rsid w:val="00B213C6"/>
    <w:rsid w:val="00B21A16"/>
    <w:rsid w:val="00B231E3"/>
    <w:rsid w:val="00B234EE"/>
    <w:rsid w:val="00B2488F"/>
    <w:rsid w:val="00B30D75"/>
    <w:rsid w:val="00B313A2"/>
    <w:rsid w:val="00B335D9"/>
    <w:rsid w:val="00B33C83"/>
    <w:rsid w:val="00B35B96"/>
    <w:rsid w:val="00B36C47"/>
    <w:rsid w:val="00B3763C"/>
    <w:rsid w:val="00B404C3"/>
    <w:rsid w:val="00B406ED"/>
    <w:rsid w:val="00B40892"/>
    <w:rsid w:val="00B412FF"/>
    <w:rsid w:val="00B41E91"/>
    <w:rsid w:val="00B41FB6"/>
    <w:rsid w:val="00B43D71"/>
    <w:rsid w:val="00B4450D"/>
    <w:rsid w:val="00B45A7B"/>
    <w:rsid w:val="00B466CC"/>
    <w:rsid w:val="00B50CD7"/>
    <w:rsid w:val="00B51908"/>
    <w:rsid w:val="00B51975"/>
    <w:rsid w:val="00B5211C"/>
    <w:rsid w:val="00B5383C"/>
    <w:rsid w:val="00B548BC"/>
    <w:rsid w:val="00B55CD3"/>
    <w:rsid w:val="00B571E5"/>
    <w:rsid w:val="00B575C3"/>
    <w:rsid w:val="00B578DE"/>
    <w:rsid w:val="00B57A24"/>
    <w:rsid w:val="00B57FFA"/>
    <w:rsid w:val="00B607BB"/>
    <w:rsid w:val="00B61FC2"/>
    <w:rsid w:val="00B62B6F"/>
    <w:rsid w:val="00B6404B"/>
    <w:rsid w:val="00B64D28"/>
    <w:rsid w:val="00B65204"/>
    <w:rsid w:val="00B65FBA"/>
    <w:rsid w:val="00B671BC"/>
    <w:rsid w:val="00B735AE"/>
    <w:rsid w:val="00B748C0"/>
    <w:rsid w:val="00B75533"/>
    <w:rsid w:val="00B75B5F"/>
    <w:rsid w:val="00B762FB"/>
    <w:rsid w:val="00B77A11"/>
    <w:rsid w:val="00B80271"/>
    <w:rsid w:val="00B80DB4"/>
    <w:rsid w:val="00B80F9C"/>
    <w:rsid w:val="00B81D33"/>
    <w:rsid w:val="00B8249F"/>
    <w:rsid w:val="00B8307A"/>
    <w:rsid w:val="00B85E43"/>
    <w:rsid w:val="00B8660C"/>
    <w:rsid w:val="00B86AD2"/>
    <w:rsid w:val="00B87739"/>
    <w:rsid w:val="00B87A0B"/>
    <w:rsid w:val="00B929E5"/>
    <w:rsid w:val="00B931D7"/>
    <w:rsid w:val="00B963EC"/>
    <w:rsid w:val="00B966AB"/>
    <w:rsid w:val="00B967F2"/>
    <w:rsid w:val="00B97BC6"/>
    <w:rsid w:val="00BA0512"/>
    <w:rsid w:val="00BA1A05"/>
    <w:rsid w:val="00BA1DE2"/>
    <w:rsid w:val="00BA1F1A"/>
    <w:rsid w:val="00BA285A"/>
    <w:rsid w:val="00BA29E2"/>
    <w:rsid w:val="00BA30C0"/>
    <w:rsid w:val="00BA38FF"/>
    <w:rsid w:val="00BA49B7"/>
    <w:rsid w:val="00BA49C7"/>
    <w:rsid w:val="00BA6014"/>
    <w:rsid w:val="00BA66B9"/>
    <w:rsid w:val="00BA6D09"/>
    <w:rsid w:val="00BB0029"/>
    <w:rsid w:val="00BB0F96"/>
    <w:rsid w:val="00BB17D3"/>
    <w:rsid w:val="00BB1FE8"/>
    <w:rsid w:val="00BB431C"/>
    <w:rsid w:val="00BB44AD"/>
    <w:rsid w:val="00BB4725"/>
    <w:rsid w:val="00BC0700"/>
    <w:rsid w:val="00BC16E4"/>
    <w:rsid w:val="00BC1C7B"/>
    <w:rsid w:val="00BC2359"/>
    <w:rsid w:val="00BC27DD"/>
    <w:rsid w:val="00BC5284"/>
    <w:rsid w:val="00BC534E"/>
    <w:rsid w:val="00BC5BCE"/>
    <w:rsid w:val="00BC6087"/>
    <w:rsid w:val="00BC6372"/>
    <w:rsid w:val="00BC6D55"/>
    <w:rsid w:val="00BD3240"/>
    <w:rsid w:val="00BD4742"/>
    <w:rsid w:val="00BD4B7C"/>
    <w:rsid w:val="00BD5025"/>
    <w:rsid w:val="00BD5D9F"/>
    <w:rsid w:val="00BD65BB"/>
    <w:rsid w:val="00BD674F"/>
    <w:rsid w:val="00BD67AA"/>
    <w:rsid w:val="00BD682A"/>
    <w:rsid w:val="00BE09A1"/>
    <w:rsid w:val="00BE18BD"/>
    <w:rsid w:val="00BE1DC6"/>
    <w:rsid w:val="00BE24F5"/>
    <w:rsid w:val="00BE3C7D"/>
    <w:rsid w:val="00BE51AD"/>
    <w:rsid w:val="00BE67EA"/>
    <w:rsid w:val="00BE7389"/>
    <w:rsid w:val="00BE744D"/>
    <w:rsid w:val="00BF0360"/>
    <w:rsid w:val="00BF07D4"/>
    <w:rsid w:val="00BF0C78"/>
    <w:rsid w:val="00BF1298"/>
    <w:rsid w:val="00BF179A"/>
    <w:rsid w:val="00BF195B"/>
    <w:rsid w:val="00BF1E32"/>
    <w:rsid w:val="00BF28F8"/>
    <w:rsid w:val="00BF2AAC"/>
    <w:rsid w:val="00BF42A2"/>
    <w:rsid w:val="00BF5592"/>
    <w:rsid w:val="00BF58A5"/>
    <w:rsid w:val="00BF631E"/>
    <w:rsid w:val="00BF6CA7"/>
    <w:rsid w:val="00BF78E2"/>
    <w:rsid w:val="00C02641"/>
    <w:rsid w:val="00C02824"/>
    <w:rsid w:val="00C02EE5"/>
    <w:rsid w:val="00C02F9F"/>
    <w:rsid w:val="00C03A82"/>
    <w:rsid w:val="00C03C97"/>
    <w:rsid w:val="00C04C14"/>
    <w:rsid w:val="00C0590E"/>
    <w:rsid w:val="00C06322"/>
    <w:rsid w:val="00C06568"/>
    <w:rsid w:val="00C06F7C"/>
    <w:rsid w:val="00C07681"/>
    <w:rsid w:val="00C07D73"/>
    <w:rsid w:val="00C10937"/>
    <w:rsid w:val="00C11672"/>
    <w:rsid w:val="00C136C0"/>
    <w:rsid w:val="00C14233"/>
    <w:rsid w:val="00C1607E"/>
    <w:rsid w:val="00C16FE5"/>
    <w:rsid w:val="00C1736E"/>
    <w:rsid w:val="00C17926"/>
    <w:rsid w:val="00C17AB7"/>
    <w:rsid w:val="00C20586"/>
    <w:rsid w:val="00C2105E"/>
    <w:rsid w:val="00C21A2E"/>
    <w:rsid w:val="00C22A6B"/>
    <w:rsid w:val="00C23107"/>
    <w:rsid w:val="00C239FF"/>
    <w:rsid w:val="00C24CA4"/>
    <w:rsid w:val="00C24FFC"/>
    <w:rsid w:val="00C26381"/>
    <w:rsid w:val="00C26CC7"/>
    <w:rsid w:val="00C2715E"/>
    <w:rsid w:val="00C27427"/>
    <w:rsid w:val="00C30819"/>
    <w:rsid w:val="00C30BB1"/>
    <w:rsid w:val="00C31BD0"/>
    <w:rsid w:val="00C341C1"/>
    <w:rsid w:val="00C3443C"/>
    <w:rsid w:val="00C34BF8"/>
    <w:rsid w:val="00C36749"/>
    <w:rsid w:val="00C37CCD"/>
    <w:rsid w:val="00C40816"/>
    <w:rsid w:val="00C40D31"/>
    <w:rsid w:val="00C4231F"/>
    <w:rsid w:val="00C43FEF"/>
    <w:rsid w:val="00C44D27"/>
    <w:rsid w:val="00C44D29"/>
    <w:rsid w:val="00C45A7F"/>
    <w:rsid w:val="00C47E5D"/>
    <w:rsid w:val="00C47ED9"/>
    <w:rsid w:val="00C50601"/>
    <w:rsid w:val="00C50F4B"/>
    <w:rsid w:val="00C513EB"/>
    <w:rsid w:val="00C516D7"/>
    <w:rsid w:val="00C5178A"/>
    <w:rsid w:val="00C52B48"/>
    <w:rsid w:val="00C52E57"/>
    <w:rsid w:val="00C53C70"/>
    <w:rsid w:val="00C54F69"/>
    <w:rsid w:val="00C5577C"/>
    <w:rsid w:val="00C57B4A"/>
    <w:rsid w:val="00C60C1C"/>
    <w:rsid w:val="00C60F69"/>
    <w:rsid w:val="00C6105D"/>
    <w:rsid w:val="00C6132E"/>
    <w:rsid w:val="00C61932"/>
    <w:rsid w:val="00C62435"/>
    <w:rsid w:val="00C62F20"/>
    <w:rsid w:val="00C63AE3"/>
    <w:rsid w:val="00C63F0D"/>
    <w:rsid w:val="00C64E12"/>
    <w:rsid w:val="00C65B7E"/>
    <w:rsid w:val="00C66A32"/>
    <w:rsid w:val="00C671BB"/>
    <w:rsid w:val="00C674D1"/>
    <w:rsid w:val="00C6770B"/>
    <w:rsid w:val="00C6774B"/>
    <w:rsid w:val="00C67B26"/>
    <w:rsid w:val="00C70BC2"/>
    <w:rsid w:val="00C70EB7"/>
    <w:rsid w:val="00C71081"/>
    <w:rsid w:val="00C72EB1"/>
    <w:rsid w:val="00C73198"/>
    <w:rsid w:val="00C760B8"/>
    <w:rsid w:val="00C76387"/>
    <w:rsid w:val="00C76883"/>
    <w:rsid w:val="00C80452"/>
    <w:rsid w:val="00C816B6"/>
    <w:rsid w:val="00C81C29"/>
    <w:rsid w:val="00C83D47"/>
    <w:rsid w:val="00C847EB"/>
    <w:rsid w:val="00C85B17"/>
    <w:rsid w:val="00C8610E"/>
    <w:rsid w:val="00C87D93"/>
    <w:rsid w:val="00C87DF7"/>
    <w:rsid w:val="00C906F5"/>
    <w:rsid w:val="00C914DE"/>
    <w:rsid w:val="00C91E51"/>
    <w:rsid w:val="00C95E79"/>
    <w:rsid w:val="00C97645"/>
    <w:rsid w:val="00C97EA6"/>
    <w:rsid w:val="00CA0B08"/>
    <w:rsid w:val="00CA132D"/>
    <w:rsid w:val="00CA20E2"/>
    <w:rsid w:val="00CA2170"/>
    <w:rsid w:val="00CA26DA"/>
    <w:rsid w:val="00CA4721"/>
    <w:rsid w:val="00CA4B4A"/>
    <w:rsid w:val="00CA4CA9"/>
    <w:rsid w:val="00CA4FE0"/>
    <w:rsid w:val="00CA50DF"/>
    <w:rsid w:val="00CA5D3B"/>
    <w:rsid w:val="00CA6537"/>
    <w:rsid w:val="00CA6C73"/>
    <w:rsid w:val="00CA7020"/>
    <w:rsid w:val="00CA7C27"/>
    <w:rsid w:val="00CA7C3C"/>
    <w:rsid w:val="00CB42E5"/>
    <w:rsid w:val="00CB51BB"/>
    <w:rsid w:val="00CB547D"/>
    <w:rsid w:val="00CB62EB"/>
    <w:rsid w:val="00CB74A4"/>
    <w:rsid w:val="00CC1503"/>
    <w:rsid w:val="00CC2559"/>
    <w:rsid w:val="00CC614D"/>
    <w:rsid w:val="00CD189B"/>
    <w:rsid w:val="00CD1EA7"/>
    <w:rsid w:val="00CD270A"/>
    <w:rsid w:val="00CD2FFC"/>
    <w:rsid w:val="00CD383D"/>
    <w:rsid w:val="00CD71FF"/>
    <w:rsid w:val="00CE017C"/>
    <w:rsid w:val="00CE11E2"/>
    <w:rsid w:val="00CE28FC"/>
    <w:rsid w:val="00CE2C1F"/>
    <w:rsid w:val="00CE2DD7"/>
    <w:rsid w:val="00CE5576"/>
    <w:rsid w:val="00CE5780"/>
    <w:rsid w:val="00CE787B"/>
    <w:rsid w:val="00CF01FD"/>
    <w:rsid w:val="00CF1471"/>
    <w:rsid w:val="00CF151D"/>
    <w:rsid w:val="00CF27F5"/>
    <w:rsid w:val="00CF3A60"/>
    <w:rsid w:val="00CF3A84"/>
    <w:rsid w:val="00CF4C08"/>
    <w:rsid w:val="00CF50A4"/>
    <w:rsid w:val="00CF6CC2"/>
    <w:rsid w:val="00CF6FCF"/>
    <w:rsid w:val="00CF72E2"/>
    <w:rsid w:val="00CF7B83"/>
    <w:rsid w:val="00D01E3B"/>
    <w:rsid w:val="00D0264A"/>
    <w:rsid w:val="00D029CC"/>
    <w:rsid w:val="00D02F4F"/>
    <w:rsid w:val="00D03BF3"/>
    <w:rsid w:val="00D04147"/>
    <w:rsid w:val="00D04B5E"/>
    <w:rsid w:val="00D051B9"/>
    <w:rsid w:val="00D05A9D"/>
    <w:rsid w:val="00D05D11"/>
    <w:rsid w:val="00D07311"/>
    <w:rsid w:val="00D0733D"/>
    <w:rsid w:val="00D0762B"/>
    <w:rsid w:val="00D10217"/>
    <w:rsid w:val="00D10F31"/>
    <w:rsid w:val="00D12D0B"/>
    <w:rsid w:val="00D12EBA"/>
    <w:rsid w:val="00D14284"/>
    <w:rsid w:val="00D14830"/>
    <w:rsid w:val="00D1540C"/>
    <w:rsid w:val="00D16370"/>
    <w:rsid w:val="00D1653E"/>
    <w:rsid w:val="00D16802"/>
    <w:rsid w:val="00D16A7E"/>
    <w:rsid w:val="00D170E6"/>
    <w:rsid w:val="00D17CA4"/>
    <w:rsid w:val="00D2033F"/>
    <w:rsid w:val="00D213E4"/>
    <w:rsid w:val="00D23DE9"/>
    <w:rsid w:val="00D24360"/>
    <w:rsid w:val="00D24413"/>
    <w:rsid w:val="00D24DA5"/>
    <w:rsid w:val="00D24EB0"/>
    <w:rsid w:val="00D25688"/>
    <w:rsid w:val="00D266A1"/>
    <w:rsid w:val="00D272CE"/>
    <w:rsid w:val="00D27467"/>
    <w:rsid w:val="00D27F5F"/>
    <w:rsid w:val="00D30415"/>
    <w:rsid w:val="00D31124"/>
    <w:rsid w:val="00D31CF6"/>
    <w:rsid w:val="00D32F3B"/>
    <w:rsid w:val="00D33618"/>
    <w:rsid w:val="00D347B9"/>
    <w:rsid w:val="00D34CDD"/>
    <w:rsid w:val="00D3687A"/>
    <w:rsid w:val="00D37C45"/>
    <w:rsid w:val="00D409B4"/>
    <w:rsid w:val="00D416BF"/>
    <w:rsid w:val="00D41732"/>
    <w:rsid w:val="00D4246C"/>
    <w:rsid w:val="00D50AE0"/>
    <w:rsid w:val="00D50BAA"/>
    <w:rsid w:val="00D51804"/>
    <w:rsid w:val="00D529F0"/>
    <w:rsid w:val="00D537EE"/>
    <w:rsid w:val="00D53D3B"/>
    <w:rsid w:val="00D53F53"/>
    <w:rsid w:val="00D5416B"/>
    <w:rsid w:val="00D56B11"/>
    <w:rsid w:val="00D56FEB"/>
    <w:rsid w:val="00D60CEF"/>
    <w:rsid w:val="00D63112"/>
    <w:rsid w:val="00D63712"/>
    <w:rsid w:val="00D639D8"/>
    <w:rsid w:val="00D63EAC"/>
    <w:rsid w:val="00D640A3"/>
    <w:rsid w:val="00D645D5"/>
    <w:rsid w:val="00D64E17"/>
    <w:rsid w:val="00D64F5A"/>
    <w:rsid w:val="00D65F15"/>
    <w:rsid w:val="00D66195"/>
    <w:rsid w:val="00D66457"/>
    <w:rsid w:val="00D66C30"/>
    <w:rsid w:val="00D66D83"/>
    <w:rsid w:val="00D70517"/>
    <w:rsid w:val="00D7112F"/>
    <w:rsid w:val="00D7129A"/>
    <w:rsid w:val="00D71CD6"/>
    <w:rsid w:val="00D724DB"/>
    <w:rsid w:val="00D727B0"/>
    <w:rsid w:val="00D72990"/>
    <w:rsid w:val="00D72F04"/>
    <w:rsid w:val="00D741E4"/>
    <w:rsid w:val="00D743BC"/>
    <w:rsid w:val="00D745E6"/>
    <w:rsid w:val="00D75882"/>
    <w:rsid w:val="00D76915"/>
    <w:rsid w:val="00D76F86"/>
    <w:rsid w:val="00D77431"/>
    <w:rsid w:val="00D7756B"/>
    <w:rsid w:val="00D81AA6"/>
    <w:rsid w:val="00D83002"/>
    <w:rsid w:val="00D8301B"/>
    <w:rsid w:val="00D830EE"/>
    <w:rsid w:val="00D84CEE"/>
    <w:rsid w:val="00D85512"/>
    <w:rsid w:val="00D85657"/>
    <w:rsid w:val="00D86905"/>
    <w:rsid w:val="00D870FB"/>
    <w:rsid w:val="00D87B79"/>
    <w:rsid w:val="00D903CE"/>
    <w:rsid w:val="00D906A6"/>
    <w:rsid w:val="00D906AC"/>
    <w:rsid w:val="00D90741"/>
    <w:rsid w:val="00D90DDE"/>
    <w:rsid w:val="00D93569"/>
    <w:rsid w:val="00D93E76"/>
    <w:rsid w:val="00D94560"/>
    <w:rsid w:val="00D94BB1"/>
    <w:rsid w:val="00D9535B"/>
    <w:rsid w:val="00D96AFF"/>
    <w:rsid w:val="00D96B3E"/>
    <w:rsid w:val="00D96CFA"/>
    <w:rsid w:val="00D96E1C"/>
    <w:rsid w:val="00DA0176"/>
    <w:rsid w:val="00DA01B4"/>
    <w:rsid w:val="00DA05CC"/>
    <w:rsid w:val="00DA108C"/>
    <w:rsid w:val="00DA1126"/>
    <w:rsid w:val="00DA1437"/>
    <w:rsid w:val="00DA3105"/>
    <w:rsid w:val="00DA46CE"/>
    <w:rsid w:val="00DA4B26"/>
    <w:rsid w:val="00DA616F"/>
    <w:rsid w:val="00DA6F72"/>
    <w:rsid w:val="00DA7054"/>
    <w:rsid w:val="00DA73EB"/>
    <w:rsid w:val="00DA75F6"/>
    <w:rsid w:val="00DB076A"/>
    <w:rsid w:val="00DB07EE"/>
    <w:rsid w:val="00DB0E02"/>
    <w:rsid w:val="00DB143C"/>
    <w:rsid w:val="00DB1554"/>
    <w:rsid w:val="00DB1F14"/>
    <w:rsid w:val="00DB2B5A"/>
    <w:rsid w:val="00DB351B"/>
    <w:rsid w:val="00DB3874"/>
    <w:rsid w:val="00DB425D"/>
    <w:rsid w:val="00DB5409"/>
    <w:rsid w:val="00DB5ED0"/>
    <w:rsid w:val="00DB6A31"/>
    <w:rsid w:val="00DB703D"/>
    <w:rsid w:val="00DC0627"/>
    <w:rsid w:val="00DC167F"/>
    <w:rsid w:val="00DC1B46"/>
    <w:rsid w:val="00DC1ECA"/>
    <w:rsid w:val="00DC31F7"/>
    <w:rsid w:val="00DC44EC"/>
    <w:rsid w:val="00DC57F9"/>
    <w:rsid w:val="00DC6D31"/>
    <w:rsid w:val="00DC6DBA"/>
    <w:rsid w:val="00DC7714"/>
    <w:rsid w:val="00DC7BC6"/>
    <w:rsid w:val="00DD08AE"/>
    <w:rsid w:val="00DD0FBA"/>
    <w:rsid w:val="00DD1586"/>
    <w:rsid w:val="00DD1669"/>
    <w:rsid w:val="00DD1B76"/>
    <w:rsid w:val="00DD217A"/>
    <w:rsid w:val="00DD3321"/>
    <w:rsid w:val="00DD5406"/>
    <w:rsid w:val="00DD67B0"/>
    <w:rsid w:val="00DD7196"/>
    <w:rsid w:val="00DE055F"/>
    <w:rsid w:val="00DE0B31"/>
    <w:rsid w:val="00DE0CEB"/>
    <w:rsid w:val="00DE0DA7"/>
    <w:rsid w:val="00DE3386"/>
    <w:rsid w:val="00DE40E9"/>
    <w:rsid w:val="00DE4AA1"/>
    <w:rsid w:val="00DE6F22"/>
    <w:rsid w:val="00DE7937"/>
    <w:rsid w:val="00DE7BE0"/>
    <w:rsid w:val="00DF2705"/>
    <w:rsid w:val="00DF30C8"/>
    <w:rsid w:val="00DF4494"/>
    <w:rsid w:val="00DF563F"/>
    <w:rsid w:val="00DF591F"/>
    <w:rsid w:val="00DF6284"/>
    <w:rsid w:val="00DF69B4"/>
    <w:rsid w:val="00DF6A47"/>
    <w:rsid w:val="00E0119B"/>
    <w:rsid w:val="00E0174C"/>
    <w:rsid w:val="00E02B3B"/>
    <w:rsid w:val="00E02D55"/>
    <w:rsid w:val="00E03171"/>
    <w:rsid w:val="00E05DFE"/>
    <w:rsid w:val="00E0629C"/>
    <w:rsid w:val="00E0779B"/>
    <w:rsid w:val="00E105F9"/>
    <w:rsid w:val="00E1080F"/>
    <w:rsid w:val="00E11797"/>
    <w:rsid w:val="00E13BEB"/>
    <w:rsid w:val="00E1478E"/>
    <w:rsid w:val="00E14BE1"/>
    <w:rsid w:val="00E1531C"/>
    <w:rsid w:val="00E15FED"/>
    <w:rsid w:val="00E21105"/>
    <w:rsid w:val="00E21D10"/>
    <w:rsid w:val="00E22359"/>
    <w:rsid w:val="00E23B37"/>
    <w:rsid w:val="00E23D01"/>
    <w:rsid w:val="00E26D93"/>
    <w:rsid w:val="00E275D1"/>
    <w:rsid w:val="00E30554"/>
    <w:rsid w:val="00E30BBD"/>
    <w:rsid w:val="00E31158"/>
    <w:rsid w:val="00E31410"/>
    <w:rsid w:val="00E31554"/>
    <w:rsid w:val="00E31677"/>
    <w:rsid w:val="00E32F88"/>
    <w:rsid w:val="00E33015"/>
    <w:rsid w:val="00E33072"/>
    <w:rsid w:val="00E330AB"/>
    <w:rsid w:val="00E33AF8"/>
    <w:rsid w:val="00E33CCA"/>
    <w:rsid w:val="00E343E2"/>
    <w:rsid w:val="00E35BE7"/>
    <w:rsid w:val="00E35C4D"/>
    <w:rsid w:val="00E3615A"/>
    <w:rsid w:val="00E362F7"/>
    <w:rsid w:val="00E37541"/>
    <w:rsid w:val="00E37A39"/>
    <w:rsid w:val="00E40BA2"/>
    <w:rsid w:val="00E4226B"/>
    <w:rsid w:val="00E43DA8"/>
    <w:rsid w:val="00E44707"/>
    <w:rsid w:val="00E45CBE"/>
    <w:rsid w:val="00E50313"/>
    <w:rsid w:val="00E51A15"/>
    <w:rsid w:val="00E52A1B"/>
    <w:rsid w:val="00E55143"/>
    <w:rsid w:val="00E552EF"/>
    <w:rsid w:val="00E56FCC"/>
    <w:rsid w:val="00E57E38"/>
    <w:rsid w:val="00E608F8"/>
    <w:rsid w:val="00E610F0"/>
    <w:rsid w:val="00E6173F"/>
    <w:rsid w:val="00E62131"/>
    <w:rsid w:val="00E62672"/>
    <w:rsid w:val="00E63D69"/>
    <w:rsid w:val="00E63F9A"/>
    <w:rsid w:val="00E64AC0"/>
    <w:rsid w:val="00E65AF3"/>
    <w:rsid w:val="00E65C98"/>
    <w:rsid w:val="00E65E19"/>
    <w:rsid w:val="00E65EB6"/>
    <w:rsid w:val="00E66C92"/>
    <w:rsid w:val="00E675E8"/>
    <w:rsid w:val="00E70F20"/>
    <w:rsid w:val="00E7223E"/>
    <w:rsid w:val="00E72771"/>
    <w:rsid w:val="00E72947"/>
    <w:rsid w:val="00E72E1C"/>
    <w:rsid w:val="00E73161"/>
    <w:rsid w:val="00E74699"/>
    <w:rsid w:val="00E74BEC"/>
    <w:rsid w:val="00E75641"/>
    <w:rsid w:val="00E76A31"/>
    <w:rsid w:val="00E76B5C"/>
    <w:rsid w:val="00E76E4D"/>
    <w:rsid w:val="00E77328"/>
    <w:rsid w:val="00E77669"/>
    <w:rsid w:val="00E80873"/>
    <w:rsid w:val="00E80A74"/>
    <w:rsid w:val="00E82BE6"/>
    <w:rsid w:val="00E8378D"/>
    <w:rsid w:val="00E8439F"/>
    <w:rsid w:val="00E84559"/>
    <w:rsid w:val="00E84921"/>
    <w:rsid w:val="00E85092"/>
    <w:rsid w:val="00E858D8"/>
    <w:rsid w:val="00E85B38"/>
    <w:rsid w:val="00E86A72"/>
    <w:rsid w:val="00E86A90"/>
    <w:rsid w:val="00E86CB7"/>
    <w:rsid w:val="00E9044C"/>
    <w:rsid w:val="00E908FA"/>
    <w:rsid w:val="00E91467"/>
    <w:rsid w:val="00E9151B"/>
    <w:rsid w:val="00E91C07"/>
    <w:rsid w:val="00E92CC1"/>
    <w:rsid w:val="00E93C4F"/>
    <w:rsid w:val="00E941D3"/>
    <w:rsid w:val="00E9443F"/>
    <w:rsid w:val="00E95269"/>
    <w:rsid w:val="00E96410"/>
    <w:rsid w:val="00E96BA8"/>
    <w:rsid w:val="00E973BF"/>
    <w:rsid w:val="00E97C92"/>
    <w:rsid w:val="00E97EA8"/>
    <w:rsid w:val="00EA07DC"/>
    <w:rsid w:val="00EA1E23"/>
    <w:rsid w:val="00EA3A64"/>
    <w:rsid w:val="00EA6539"/>
    <w:rsid w:val="00EA6E5E"/>
    <w:rsid w:val="00EB090D"/>
    <w:rsid w:val="00EB1222"/>
    <w:rsid w:val="00EB1227"/>
    <w:rsid w:val="00EB283E"/>
    <w:rsid w:val="00EB2E9E"/>
    <w:rsid w:val="00EB2FAB"/>
    <w:rsid w:val="00EB3F0D"/>
    <w:rsid w:val="00EB4034"/>
    <w:rsid w:val="00EB405D"/>
    <w:rsid w:val="00EB4163"/>
    <w:rsid w:val="00EB492E"/>
    <w:rsid w:val="00EB54D9"/>
    <w:rsid w:val="00EB5D4A"/>
    <w:rsid w:val="00EB6E23"/>
    <w:rsid w:val="00EB7EC1"/>
    <w:rsid w:val="00EC0411"/>
    <w:rsid w:val="00EC09C4"/>
    <w:rsid w:val="00EC0B4C"/>
    <w:rsid w:val="00EC1F98"/>
    <w:rsid w:val="00EC2114"/>
    <w:rsid w:val="00EC2583"/>
    <w:rsid w:val="00EC310F"/>
    <w:rsid w:val="00EC3202"/>
    <w:rsid w:val="00EC493E"/>
    <w:rsid w:val="00EC4B43"/>
    <w:rsid w:val="00EC70C7"/>
    <w:rsid w:val="00ED17F7"/>
    <w:rsid w:val="00ED1EEF"/>
    <w:rsid w:val="00ED2174"/>
    <w:rsid w:val="00ED3BFD"/>
    <w:rsid w:val="00ED4329"/>
    <w:rsid w:val="00ED439D"/>
    <w:rsid w:val="00ED4563"/>
    <w:rsid w:val="00ED4ACA"/>
    <w:rsid w:val="00ED4FAF"/>
    <w:rsid w:val="00ED60D7"/>
    <w:rsid w:val="00ED7185"/>
    <w:rsid w:val="00ED7FE5"/>
    <w:rsid w:val="00EE03A2"/>
    <w:rsid w:val="00EE0701"/>
    <w:rsid w:val="00EE0B87"/>
    <w:rsid w:val="00EE21F9"/>
    <w:rsid w:val="00EE2B2F"/>
    <w:rsid w:val="00EE2F52"/>
    <w:rsid w:val="00EE3573"/>
    <w:rsid w:val="00EE5043"/>
    <w:rsid w:val="00EE5170"/>
    <w:rsid w:val="00EE6535"/>
    <w:rsid w:val="00EE6C24"/>
    <w:rsid w:val="00EF0040"/>
    <w:rsid w:val="00EF0809"/>
    <w:rsid w:val="00EF0895"/>
    <w:rsid w:val="00EF124C"/>
    <w:rsid w:val="00EF1E1F"/>
    <w:rsid w:val="00EF28E0"/>
    <w:rsid w:val="00EF758F"/>
    <w:rsid w:val="00EF75DF"/>
    <w:rsid w:val="00EF7F8C"/>
    <w:rsid w:val="00F00746"/>
    <w:rsid w:val="00F022ED"/>
    <w:rsid w:val="00F03152"/>
    <w:rsid w:val="00F031B9"/>
    <w:rsid w:val="00F03E63"/>
    <w:rsid w:val="00F0460F"/>
    <w:rsid w:val="00F0531A"/>
    <w:rsid w:val="00F10076"/>
    <w:rsid w:val="00F117D3"/>
    <w:rsid w:val="00F12DDB"/>
    <w:rsid w:val="00F1387E"/>
    <w:rsid w:val="00F157A0"/>
    <w:rsid w:val="00F15BB0"/>
    <w:rsid w:val="00F16485"/>
    <w:rsid w:val="00F208F4"/>
    <w:rsid w:val="00F20B4B"/>
    <w:rsid w:val="00F20CFB"/>
    <w:rsid w:val="00F21DA4"/>
    <w:rsid w:val="00F2209E"/>
    <w:rsid w:val="00F22E9B"/>
    <w:rsid w:val="00F23B52"/>
    <w:rsid w:val="00F24A48"/>
    <w:rsid w:val="00F2555E"/>
    <w:rsid w:val="00F26540"/>
    <w:rsid w:val="00F26765"/>
    <w:rsid w:val="00F27351"/>
    <w:rsid w:val="00F27512"/>
    <w:rsid w:val="00F27646"/>
    <w:rsid w:val="00F27D5A"/>
    <w:rsid w:val="00F309C2"/>
    <w:rsid w:val="00F31225"/>
    <w:rsid w:val="00F31A57"/>
    <w:rsid w:val="00F321CB"/>
    <w:rsid w:val="00F32872"/>
    <w:rsid w:val="00F32D1E"/>
    <w:rsid w:val="00F33574"/>
    <w:rsid w:val="00F33D22"/>
    <w:rsid w:val="00F345B2"/>
    <w:rsid w:val="00F34A49"/>
    <w:rsid w:val="00F34F31"/>
    <w:rsid w:val="00F361C7"/>
    <w:rsid w:val="00F36A6A"/>
    <w:rsid w:val="00F36D52"/>
    <w:rsid w:val="00F36F21"/>
    <w:rsid w:val="00F37437"/>
    <w:rsid w:val="00F37A5D"/>
    <w:rsid w:val="00F37F44"/>
    <w:rsid w:val="00F409D8"/>
    <w:rsid w:val="00F4219C"/>
    <w:rsid w:val="00F42CA5"/>
    <w:rsid w:val="00F442E8"/>
    <w:rsid w:val="00F44692"/>
    <w:rsid w:val="00F4507A"/>
    <w:rsid w:val="00F45095"/>
    <w:rsid w:val="00F46657"/>
    <w:rsid w:val="00F4709D"/>
    <w:rsid w:val="00F509F4"/>
    <w:rsid w:val="00F5178A"/>
    <w:rsid w:val="00F519DE"/>
    <w:rsid w:val="00F52565"/>
    <w:rsid w:val="00F53E66"/>
    <w:rsid w:val="00F53EA1"/>
    <w:rsid w:val="00F54733"/>
    <w:rsid w:val="00F54814"/>
    <w:rsid w:val="00F54F44"/>
    <w:rsid w:val="00F575EC"/>
    <w:rsid w:val="00F57DFF"/>
    <w:rsid w:val="00F60054"/>
    <w:rsid w:val="00F60972"/>
    <w:rsid w:val="00F60EE4"/>
    <w:rsid w:val="00F61541"/>
    <w:rsid w:val="00F6257E"/>
    <w:rsid w:val="00F62DD4"/>
    <w:rsid w:val="00F636BE"/>
    <w:rsid w:val="00F6491A"/>
    <w:rsid w:val="00F65B7C"/>
    <w:rsid w:val="00F65D77"/>
    <w:rsid w:val="00F664D3"/>
    <w:rsid w:val="00F66B30"/>
    <w:rsid w:val="00F7042F"/>
    <w:rsid w:val="00F70AF2"/>
    <w:rsid w:val="00F7108A"/>
    <w:rsid w:val="00F71610"/>
    <w:rsid w:val="00F72AE4"/>
    <w:rsid w:val="00F733CD"/>
    <w:rsid w:val="00F736C8"/>
    <w:rsid w:val="00F737B1"/>
    <w:rsid w:val="00F7400F"/>
    <w:rsid w:val="00F7404A"/>
    <w:rsid w:val="00F744FD"/>
    <w:rsid w:val="00F7454B"/>
    <w:rsid w:val="00F74BF4"/>
    <w:rsid w:val="00F74F5A"/>
    <w:rsid w:val="00F75079"/>
    <w:rsid w:val="00F75CFD"/>
    <w:rsid w:val="00F7663E"/>
    <w:rsid w:val="00F77593"/>
    <w:rsid w:val="00F77FFD"/>
    <w:rsid w:val="00F81BFB"/>
    <w:rsid w:val="00F837F7"/>
    <w:rsid w:val="00F83822"/>
    <w:rsid w:val="00F83BFE"/>
    <w:rsid w:val="00F86C51"/>
    <w:rsid w:val="00F86E8D"/>
    <w:rsid w:val="00F90358"/>
    <w:rsid w:val="00F90A52"/>
    <w:rsid w:val="00F91F4C"/>
    <w:rsid w:val="00F92646"/>
    <w:rsid w:val="00F9275E"/>
    <w:rsid w:val="00F9320A"/>
    <w:rsid w:val="00F93B9B"/>
    <w:rsid w:val="00F93C4D"/>
    <w:rsid w:val="00F95BEB"/>
    <w:rsid w:val="00F95BFB"/>
    <w:rsid w:val="00F96B34"/>
    <w:rsid w:val="00F96BFA"/>
    <w:rsid w:val="00F97284"/>
    <w:rsid w:val="00F9754B"/>
    <w:rsid w:val="00F9786B"/>
    <w:rsid w:val="00FA0622"/>
    <w:rsid w:val="00FA0B22"/>
    <w:rsid w:val="00FA13F2"/>
    <w:rsid w:val="00FA4F6B"/>
    <w:rsid w:val="00FA5CE3"/>
    <w:rsid w:val="00FA6106"/>
    <w:rsid w:val="00FA6A3A"/>
    <w:rsid w:val="00FA7C0D"/>
    <w:rsid w:val="00FB02E6"/>
    <w:rsid w:val="00FB033C"/>
    <w:rsid w:val="00FB1C00"/>
    <w:rsid w:val="00FB262A"/>
    <w:rsid w:val="00FB2A2D"/>
    <w:rsid w:val="00FB2BD2"/>
    <w:rsid w:val="00FB3DBE"/>
    <w:rsid w:val="00FB418B"/>
    <w:rsid w:val="00FB4661"/>
    <w:rsid w:val="00FB4982"/>
    <w:rsid w:val="00FB5C03"/>
    <w:rsid w:val="00FB5D28"/>
    <w:rsid w:val="00FB5E8F"/>
    <w:rsid w:val="00FB5FC2"/>
    <w:rsid w:val="00FB7D11"/>
    <w:rsid w:val="00FC1697"/>
    <w:rsid w:val="00FC283A"/>
    <w:rsid w:val="00FC2EA1"/>
    <w:rsid w:val="00FC3A01"/>
    <w:rsid w:val="00FC420F"/>
    <w:rsid w:val="00FC5037"/>
    <w:rsid w:val="00FC6FB4"/>
    <w:rsid w:val="00FD035E"/>
    <w:rsid w:val="00FD066C"/>
    <w:rsid w:val="00FD07FA"/>
    <w:rsid w:val="00FD20B2"/>
    <w:rsid w:val="00FD271B"/>
    <w:rsid w:val="00FD3A04"/>
    <w:rsid w:val="00FD4039"/>
    <w:rsid w:val="00FD40B0"/>
    <w:rsid w:val="00FD4DB9"/>
    <w:rsid w:val="00FD5ADA"/>
    <w:rsid w:val="00FD6643"/>
    <w:rsid w:val="00FD6B51"/>
    <w:rsid w:val="00FE0C88"/>
    <w:rsid w:val="00FE2DC4"/>
    <w:rsid w:val="00FE2E94"/>
    <w:rsid w:val="00FE6B7C"/>
    <w:rsid w:val="00FE7229"/>
    <w:rsid w:val="00FE7325"/>
    <w:rsid w:val="00FF0A57"/>
    <w:rsid w:val="00FF0EC4"/>
    <w:rsid w:val="00FF145D"/>
    <w:rsid w:val="00FF2AA7"/>
    <w:rsid w:val="00FF3165"/>
    <w:rsid w:val="00FF3C23"/>
    <w:rsid w:val="00FF5214"/>
    <w:rsid w:val="00FF54C7"/>
    <w:rsid w:val="00FF5774"/>
    <w:rsid w:val="00FF64C1"/>
    <w:rsid w:val="00FF6AE3"/>
    <w:rsid w:val="00FF6F0A"/>
    <w:rsid w:val="00FF7247"/>
    <w:rsid w:val="00FF7983"/>
    <w:rsid w:val="028514D0"/>
    <w:rsid w:val="04DA36C7"/>
    <w:rsid w:val="05C66D66"/>
    <w:rsid w:val="12A226DC"/>
    <w:rsid w:val="12C74461"/>
    <w:rsid w:val="133E24E9"/>
    <w:rsid w:val="1A780DB7"/>
    <w:rsid w:val="1E6247EE"/>
    <w:rsid w:val="236D644B"/>
    <w:rsid w:val="276F4A98"/>
    <w:rsid w:val="316B59EE"/>
    <w:rsid w:val="35920389"/>
    <w:rsid w:val="52771C2B"/>
    <w:rsid w:val="577A615E"/>
    <w:rsid w:val="588C06E3"/>
    <w:rsid w:val="61AA586F"/>
    <w:rsid w:val="627A760B"/>
    <w:rsid w:val="6A5467C4"/>
    <w:rsid w:val="75571006"/>
    <w:rsid w:val="78E23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CED916A"/>
  <w15:docId w15:val="{0D9C6955-CCDD-4923-8C66-E3C44C634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next w:val="ab"/>
    <w:qFormat/>
    <w:pPr>
      <w:widowControl w:val="0"/>
      <w:jc w:val="both"/>
    </w:pPr>
    <w:rPr>
      <w:kern w:val="2"/>
      <w:sz w:val="21"/>
      <w:szCs w:val="24"/>
    </w:rPr>
  </w:style>
  <w:style w:type="paragraph" w:styleId="1">
    <w:name w:val="heading 1"/>
    <w:basedOn w:val="aa"/>
    <w:next w:val="aa"/>
    <w:link w:val="10"/>
    <w:autoRedefine/>
    <w:uiPriority w:val="9"/>
    <w:qFormat/>
    <w:pPr>
      <w:keepNext/>
      <w:keepLines/>
      <w:spacing w:beforeLines="50" w:before="50" w:afterLines="50" w:after="50" w:line="360" w:lineRule="auto"/>
      <w:outlineLvl w:val="0"/>
    </w:pPr>
    <w:rPr>
      <w:b/>
      <w:bCs/>
      <w:kern w:val="44"/>
      <w:sz w:val="30"/>
      <w:szCs w:val="44"/>
    </w:rPr>
  </w:style>
  <w:style w:type="paragraph" w:styleId="2">
    <w:name w:val="heading 2"/>
    <w:basedOn w:val="aa"/>
    <w:next w:val="aa"/>
    <w:link w:val="20"/>
    <w:uiPriority w:val="9"/>
    <w:unhideWhenUsed/>
    <w:qFormat/>
    <w:pPr>
      <w:keepNext/>
      <w:keepLines/>
      <w:spacing w:line="360" w:lineRule="auto"/>
      <w:outlineLvl w:val="1"/>
    </w:pPr>
    <w:rPr>
      <w:rFonts w:ascii="Cambria" w:hAnsi="Cambria"/>
      <w:b/>
      <w:bCs/>
      <w:sz w:val="28"/>
      <w:szCs w:val="32"/>
    </w:rPr>
  </w:style>
  <w:style w:type="paragraph" w:styleId="3">
    <w:name w:val="heading 3"/>
    <w:basedOn w:val="aa"/>
    <w:next w:val="aa"/>
    <w:link w:val="30"/>
    <w:autoRedefine/>
    <w:qFormat/>
    <w:pPr>
      <w:keepNext/>
      <w:keepLines/>
      <w:spacing w:line="360" w:lineRule="auto"/>
      <w:outlineLvl w:val="2"/>
    </w:pPr>
    <w:rPr>
      <w:b/>
      <w:bCs/>
      <w:sz w:val="24"/>
      <w:szCs w:val="32"/>
    </w:rPr>
  </w:style>
  <w:style w:type="paragraph" w:styleId="4">
    <w:name w:val="heading 4"/>
    <w:basedOn w:val="aa"/>
    <w:next w:val="aa"/>
    <w:link w:val="40"/>
    <w:autoRedefine/>
    <w:uiPriority w:val="9"/>
    <w:unhideWhenUsed/>
    <w:qFormat/>
    <w:pPr>
      <w:keepNext/>
      <w:keepLines/>
      <w:spacing w:before="40" w:after="50" w:line="376" w:lineRule="auto"/>
      <w:outlineLvl w:val="3"/>
    </w:pPr>
    <w:rPr>
      <w:rFonts w:ascii="Cambria" w:hAnsi="Cambria"/>
      <w:b/>
      <w:bCs/>
      <w:sz w:val="24"/>
      <w:szCs w:val="2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b">
    <w:name w:val="Body Text"/>
    <w:basedOn w:val="aa"/>
    <w:link w:val="af"/>
    <w:autoRedefine/>
    <w:qFormat/>
    <w:rPr>
      <w:sz w:val="28"/>
      <w:szCs w:val="20"/>
    </w:rPr>
  </w:style>
  <w:style w:type="paragraph" w:styleId="TOC7">
    <w:name w:val="toc 7"/>
    <w:basedOn w:val="aa"/>
    <w:next w:val="aa"/>
    <w:autoRedefine/>
    <w:uiPriority w:val="39"/>
    <w:unhideWhenUsed/>
    <w:qFormat/>
    <w:pPr>
      <w:ind w:leftChars="1200" w:left="2520"/>
    </w:pPr>
    <w:rPr>
      <w:rFonts w:ascii="等线" w:eastAsia="等线" w:hAnsi="等线"/>
      <w:szCs w:val="22"/>
    </w:rPr>
  </w:style>
  <w:style w:type="paragraph" w:styleId="af0">
    <w:name w:val="caption"/>
    <w:basedOn w:val="aa"/>
    <w:next w:val="aa"/>
    <w:autoRedefine/>
    <w:uiPriority w:val="35"/>
    <w:unhideWhenUsed/>
    <w:qFormat/>
    <w:rPr>
      <w:rFonts w:ascii="Calibri Light" w:eastAsia="Adobe 黑体 Std R" w:hAnsi="Calibri Light"/>
      <w:sz w:val="20"/>
      <w:szCs w:val="20"/>
    </w:rPr>
  </w:style>
  <w:style w:type="paragraph" w:styleId="af1">
    <w:name w:val="annotation text"/>
    <w:basedOn w:val="aa"/>
    <w:link w:val="11"/>
    <w:autoRedefine/>
    <w:uiPriority w:val="99"/>
    <w:unhideWhenUsed/>
    <w:qFormat/>
    <w:pPr>
      <w:jc w:val="left"/>
    </w:pPr>
    <w:rPr>
      <w:rFonts w:ascii="Calibri" w:hAnsi="Calibri"/>
    </w:rPr>
  </w:style>
  <w:style w:type="paragraph" w:styleId="af2">
    <w:name w:val="Body Text Indent"/>
    <w:basedOn w:val="aa"/>
    <w:link w:val="12"/>
    <w:autoRedefine/>
    <w:qFormat/>
    <w:pPr>
      <w:spacing w:line="300" w:lineRule="auto"/>
      <w:ind w:firstLineChars="200" w:firstLine="560"/>
    </w:pPr>
    <w:rPr>
      <w:sz w:val="28"/>
      <w:szCs w:val="28"/>
    </w:rPr>
  </w:style>
  <w:style w:type="paragraph" w:styleId="TOC5">
    <w:name w:val="toc 5"/>
    <w:basedOn w:val="aa"/>
    <w:next w:val="aa"/>
    <w:autoRedefine/>
    <w:uiPriority w:val="39"/>
    <w:unhideWhenUsed/>
    <w:qFormat/>
    <w:pPr>
      <w:ind w:leftChars="800" w:left="1680"/>
    </w:pPr>
    <w:rPr>
      <w:rFonts w:ascii="等线" w:eastAsia="等线" w:hAnsi="等线"/>
      <w:szCs w:val="22"/>
    </w:rPr>
  </w:style>
  <w:style w:type="paragraph" w:styleId="TOC3">
    <w:name w:val="toc 3"/>
    <w:basedOn w:val="aa"/>
    <w:next w:val="aa"/>
    <w:autoRedefine/>
    <w:uiPriority w:val="39"/>
    <w:unhideWhenUsed/>
    <w:qFormat/>
    <w:pPr>
      <w:ind w:leftChars="400" w:left="840"/>
    </w:pPr>
  </w:style>
  <w:style w:type="paragraph" w:styleId="af3">
    <w:name w:val="Plain Text"/>
    <w:basedOn w:val="aa"/>
    <w:link w:val="13"/>
    <w:autoRedefine/>
    <w:qFormat/>
    <w:rPr>
      <w:rFonts w:ascii="宋体" w:hAnsi="Courier New"/>
      <w:szCs w:val="20"/>
    </w:rPr>
  </w:style>
  <w:style w:type="paragraph" w:styleId="TOC8">
    <w:name w:val="toc 8"/>
    <w:basedOn w:val="aa"/>
    <w:next w:val="aa"/>
    <w:autoRedefine/>
    <w:uiPriority w:val="39"/>
    <w:unhideWhenUsed/>
    <w:qFormat/>
    <w:pPr>
      <w:ind w:leftChars="1400" w:left="2940"/>
    </w:pPr>
    <w:rPr>
      <w:rFonts w:ascii="等线" w:eastAsia="等线" w:hAnsi="等线"/>
      <w:szCs w:val="22"/>
    </w:rPr>
  </w:style>
  <w:style w:type="paragraph" w:styleId="af4">
    <w:name w:val="Date"/>
    <w:basedOn w:val="aa"/>
    <w:next w:val="aa"/>
    <w:link w:val="af5"/>
    <w:autoRedefine/>
    <w:unhideWhenUsed/>
    <w:pPr>
      <w:ind w:leftChars="2500" w:left="100"/>
    </w:pPr>
  </w:style>
  <w:style w:type="paragraph" w:styleId="21">
    <w:name w:val="Body Text Indent 2"/>
    <w:basedOn w:val="aa"/>
    <w:link w:val="22"/>
    <w:autoRedefine/>
    <w:qFormat/>
    <w:pPr>
      <w:spacing w:after="120" w:line="480" w:lineRule="auto"/>
      <w:ind w:left="420"/>
    </w:pPr>
  </w:style>
  <w:style w:type="paragraph" w:styleId="af6">
    <w:name w:val="Balloon Text"/>
    <w:basedOn w:val="aa"/>
    <w:link w:val="af7"/>
    <w:autoRedefine/>
    <w:unhideWhenUsed/>
    <w:qFormat/>
    <w:rPr>
      <w:sz w:val="18"/>
      <w:szCs w:val="18"/>
    </w:rPr>
  </w:style>
  <w:style w:type="paragraph" w:styleId="af8">
    <w:name w:val="footer"/>
    <w:basedOn w:val="aa"/>
    <w:link w:val="af9"/>
    <w:autoRedefine/>
    <w:uiPriority w:val="99"/>
    <w:unhideWhenUsed/>
    <w:qFormat/>
    <w:pPr>
      <w:tabs>
        <w:tab w:val="center" w:pos="4153"/>
        <w:tab w:val="right" w:pos="8306"/>
      </w:tabs>
      <w:snapToGrid w:val="0"/>
      <w:jc w:val="left"/>
    </w:pPr>
    <w:rPr>
      <w:rFonts w:ascii="Calibri" w:hAnsi="Calibri"/>
      <w:kern w:val="0"/>
      <w:sz w:val="18"/>
      <w:szCs w:val="18"/>
    </w:rPr>
  </w:style>
  <w:style w:type="paragraph" w:styleId="afa">
    <w:name w:val="header"/>
    <w:basedOn w:val="aa"/>
    <w:link w:val="afb"/>
    <w:autoRedefine/>
    <w:uiPriority w:val="99"/>
    <w:unhideWhenUse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a"/>
    <w:next w:val="aa"/>
    <w:autoRedefine/>
    <w:uiPriority w:val="39"/>
    <w:unhideWhenUsed/>
    <w:qFormat/>
  </w:style>
  <w:style w:type="paragraph" w:styleId="TOC4">
    <w:name w:val="toc 4"/>
    <w:basedOn w:val="aa"/>
    <w:next w:val="aa"/>
    <w:autoRedefine/>
    <w:uiPriority w:val="39"/>
    <w:unhideWhenUsed/>
    <w:qFormat/>
    <w:pPr>
      <w:ind w:leftChars="600" w:left="1260"/>
    </w:pPr>
  </w:style>
  <w:style w:type="paragraph" w:styleId="TOC6">
    <w:name w:val="toc 6"/>
    <w:basedOn w:val="aa"/>
    <w:next w:val="aa"/>
    <w:autoRedefine/>
    <w:uiPriority w:val="39"/>
    <w:unhideWhenUsed/>
    <w:qFormat/>
    <w:pPr>
      <w:ind w:leftChars="1000" w:left="2100"/>
    </w:pPr>
    <w:rPr>
      <w:rFonts w:ascii="等线" w:eastAsia="等线" w:hAnsi="等线"/>
      <w:szCs w:val="22"/>
    </w:rPr>
  </w:style>
  <w:style w:type="paragraph" w:styleId="31">
    <w:name w:val="Body Text Indent 3"/>
    <w:basedOn w:val="aa"/>
    <w:link w:val="32"/>
    <w:autoRedefine/>
    <w:qFormat/>
    <w:pPr>
      <w:spacing w:after="120"/>
      <w:ind w:left="420"/>
    </w:pPr>
    <w:rPr>
      <w:sz w:val="16"/>
      <w:szCs w:val="16"/>
    </w:rPr>
  </w:style>
  <w:style w:type="paragraph" w:styleId="afc">
    <w:name w:val="table of figures"/>
    <w:basedOn w:val="aa"/>
    <w:next w:val="aa"/>
    <w:autoRedefine/>
    <w:uiPriority w:val="99"/>
    <w:unhideWhenUsed/>
    <w:qFormat/>
    <w:pPr>
      <w:ind w:leftChars="200" w:left="200" w:hangingChars="200" w:hanging="200"/>
    </w:pPr>
  </w:style>
  <w:style w:type="paragraph" w:styleId="TOC2">
    <w:name w:val="toc 2"/>
    <w:basedOn w:val="aa"/>
    <w:next w:val="aa"/>
    <w:autoRedefine/>
    <w:uiPriority w:val="39"/>
    <w:unhideWhenUsed/>
    <w:qFormat/>
    <w:pPr>
      <w:ind w:leftChars="200" w:left="420"/>
    </w:pPr>
  </w:style>
  <w:style w:type="paragraph" w:styleId="TOC9">
    <w:name w:val="toc 9"/>
    <w:basedOn w:val="aa"/>
    <w:next w:val="aa"/>
    <w:autoRedefine/>
    <w:uiPriority w:val="39"/>
    <w:unhideWhenUsed/>
    <w:qFormat/>
    <w:pPr>
      <w:ind w:leftChars="1600" w:left="3360"/>
    </w:pPr>
    <w:rPr>
      <w:rFonts w:ascii="等线" w:eastAsia="等线" w:hAnsi="等线"/>
      <w:szCs w:val="22"/>
    </w:rPr>
  </w:style>
  <w:style w:type="paragraph" w:styleId="HTML">
    <w:name w:val="HTML Preformatted"/>
    <w:basedOn w:val="aa"/>
    <w:link w:val="HTML0"/>
    <w:autoRedefine/>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d">
    <w:name w:val="Normal (Web)"/>
    <w:basedOn w:val="aa"/>
    <w:autoRedefine/>
    <w:qFormat/>
    <w:pPr>
      <w:widowControl/>
      <w:spacing w:before="100" w:beforeAutospacing="1" w:after="100" w:afterAutospacing="1"/>
      <w:jc w:val="left"/>
    </w:pPr>
    <w:rPr>
      <w:rFonts w:ascii="宋体" w:hAnsi="宋体" w:cs="宋体"/>
      <w:kern w:val="0"/>
      <w:sz w:val="24"/>
    </w:rPr>
  </w:style>
  <w:style w:type="paragraph" w:styleId="afe">
    <w:name w:val="Title"/>
    <w:basedOn w:val="aa"/>
    <w:next w:val="aa"/>
    <w:link w:val="aff"/>
    <w:autoRedefine/>
    <w:uiPriority w:val="10"/>
    <w:qFormat/>
    <w:pPr>
      <w:spacing w:before="240" w:after="60"/>
      <w:jc w:val="center"/>
      <w:outlineLvl w:val="0"/>
    </w:pPr>
    <w:rPr>
      <w:rFonts w:ascii="Cambria" w:hAnsi="Cambria"/>
      <w:b/>
      <w:bCs/>
      <w:sz w:val="32"/>
      <w:szCs w:val="32"/>
    </w:rPr>
  </w:style>
  <w:style w:type="paragraph" w:styleId="aff0">
    <w:name w:val="annotation subject"/>
    <w:basedOn w:val="af1"/>
    <w:next w:val="af1"/>
    <w:link w:val="14"/>
    <w:autoRedefine/>
    <w:unhideWhenUsed/>
    <w:qFormat/>
    <w:rPr>
      <w:rFonts w:ascii="Times New Roman" w:hAnsi="Times New Roman"/>
      <w:b/>
      <w:bCs/>
    </w:rPr>
  </w:style>
  <w:style w:type="table" w:styleId="aff1">
    <w:name w:val="Table Grid"/>
    <w:basedOn w:val="ad"/>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autoRedefine/>
    <w:uiPriority w:val="22"/>
    <w:qFormat/>
    <w:rPr>
      <w:b/>
      <w:bCs/>
    </w:rPr>
  </w:style>
  <w:style w:type="character" w:styleId="aff3">
    <w:name w:val="page number"/>
    <w:basedOn w:val="ac"/>
    <w:autoRedefine/>
    <w:qFormat/>
  </w:style>
  <w:style w:type="character" w:styleId="aff4">
    <w:name w:val="Emphasis"/>
    <w:autoRedefine/>
    <w:uiPriority w:val="20"/>
    <w:qFormat/>
    <w:rPr>
      <w:i/>
      <w:iCs/>
    </w:rPr>
  </w:style>
  <w:style w:type="character" w:styleId="aff5">
    <w:name w:val="Hyperlink"/>
    <w:autoRedefine/>
    <w:uiPriority w:val="99"/>
    <w:qFormat/>
    <w:rPr>
      <w:rFonts w:cs="Times New Roman"/>
      <w:color w:val="0000FF"/>
      <w:u w:val="single"/>
    </w:rPr>
  </w:style>
  <w:style w:type="character" w:styleId="aff6">
    <w:name w:val="annotation reference"/>
    <w:autoRedefine/>
    <w:uiPriority w:val="99"/>
    <w:unhideWhenUsed/>
    <w:qFormat/>
    <w:rPr>
      <w:sz w:val="21"/>
      <w:szCs w:val="21"/>
    </w:rPr>
  </w:style>
  <w:style w:type="character" w:customStyle="1" w:styleId="afb">
    <w:name w:val="页眉 字符"/>
    <w:link w:val="afa"/>
    <w:autoRedefine/>
    <w:uiPriority w:val="99"/>
    <w:qFormat/>
    <w:rPr>
      <w:sz w:val="18"/>
      <w:szCs w:val="18"/>
    </w:rPr>
  </w:style>
  <w:style w:type="character" w:customStyle="1" w:styleId="af9">
    <w:name w:val="页脚 字符"/>
    <w:link w:val="af8"/>
    <w:autoRedefine/>
    <w:uiPriority w:val="99"/>
    <w:qFormat/>
    <w:rPr>
      <w:sz w:val="18"/>
      <w:szCs w:val="18"/>
    </w:rPr>
  </w:style>
  <w:style w:type="paragraph" w:styleId="a1">
    <w:name w:val="List Paragraph"/>
    <w:basedOn w:val="aa"/>
    <w:link w:val="aff7"/>
    <w:autoRedefine/>
    <w:uiPriority w:val="34"/>
    <w:qFormat/>
    <w:rsid w:val="00F7042F"/>
    <w:pPr>
      <w:numPr>
        <w:numId w:val="6"/>
      </w:numPr>
      <w:jc w:val="center"/>
    </w:pPr>
  </w:style>
  <w:style w:type="character" w:customStyle="1" w:styleId="af5">
    <w:name w:val="日期 字符"/>
    <w:link w:val="af4"/>
    <w:autoRedefine/>
    <w:qFormat/>
    <w:rPr>
      <w:rFonts w:ascii="Times New Roman" w:hAnsi="Times New Roman"/>
      <w:kern w:val="2"/>
      <w:sz w:val="21"/>
      <w:szCs w:val="24"/>
    </w:rPr>
  </w:style>
  <w:style w:type="character" w:customStyle="1" w:styleId="30">
    <w:name w:val="标题 3 字符"/>
    <w:link w:val="3"/>
    <w:autoRedefine/>
    <w:qFormat/>
    <w:rPr>
      <w:rFonts w:ascii="Times New Roman" w:hAnsi="Times New Roman"/>
      <w:b/>
      <w:bCs/>
      <w:kern w:val="2"/>
      <w:sz w:val="24"/>
      <w:szCs w:val="32"/>
    </w:rPr>
  </w:style>
  <w:style w:type="paragraph" w:customStyle="1" w:styleId="aff8">
    <w:name w:val="段"/>
    <w:link w:val="Char"/>
    <w:autoRedefine/>
    <w:qFormat/>
    <w:pPr>
      <w:tabs>
        <w:tab w:val="center" w:pos="4201"/>
        <w:tab w:val="right" w:leader="dot" w:pos="9298"/>
      </w:tabs>
      <w:autoSpaceDE w:val="0"/>
      <w:autoSpaceDN w:val="0"/>
      <w:ind w:firstLineChars="200" w:firstLine="420"/>
      <w:jc w:val="both"/>
    </w:pPr>
    <w:rPr>
      <w:rFonts w:ascii="宋体"/>
      <w:sz w:val="21"/>
    </w:rPr>
  </w:style>
  <w:style w:type="paragraph" w:customStyle="1" w:styleId="aff9">
    <w:name w:val="一级条标题"/>
    <w:next w:val="aff8"/>
    <w:autoRedefine/>
    <w:qFormat/>
    <w:pPr>
      <w:tabs>
        <w:tab w:val="left" w:pos="360"/>
      </w:tabs>
      <w:spacing w:beforeLines="50" w:before="156" w:afterLines="50" w:after="156"/>
      <w:outlineLvl w:val="2"/>
    </w:pPr>
    <w:rPr>
      <w:rFonts w:ascii="黑体" w:eastAsia="黑体"/>
      <w:sz w:val="21"/>
      <w:szCs w:val="21"/>
    </w:rPr>
  </w:style>
  <w:style w:type="paragraph" w:customStyle="1" w:styleId="affa">
    <w:name w:val="章标题"/>
    <w:next w:val="aff8"/>
    <w:autoRedefine/>
    <w:qFormat/>
    <w:pPr>
      <w:tabs>
        <w:tab w:val="left" w:pos="360"/>
      </w:tabs>
      <w:spacing w:beforeLines="100" w:before="312" w:afterLines="100" w:after="312"/>
      <w:jc w:val="both"/>
      <w:outlineLvl w:val="1"/>
    </w:pPr>
    <w:rPr>
      <w:rFonts w:ascii="黑体" w:eastAsia="黑体"/>
      <w:sz w:val="21"/>
    </w:rPr>
  </w:style>
  <w:style w:type="character" w:customStyle="1" w:styleId="10">
    <w:name w:val="标题 1 字符"/>
    <w:link w:val="1"/>
    <w:autoRedefine/>
    <w:uiPriority w:val="9"/>
    <w:qFormat/>
    <w:rPr>
      <w:rFonts w:ascii="Times New Roman" w:hAnsi="Times New Roman"/>
      <w:b/>
      <w:bCs/>
      <w:kern w:val="44"/>
      <w:sz w:val="30"/>
      <w:szCs w:val="44"/>
    </w:rPr>
  </w:style>
  <w:style w:type="character" w:customStyle="1" w:styleId="aff">
    <w:name w:val="标题 字符"/>
    <w:link w:val="afe"/>
    <w:autoRedefine/>
    <w:uiPriority w:val="10"/>
    <w:qFormat/>
    <w:rPr>
      <w:rFonts w:ascii="Cambria" w:hAnsi="Cambria" w:cs="Times New Roman"/>
      <w:b/>
      <w:bCs/>
      <w:kern w:val="2"/>
      <w:sz w:val="32"/>
      <w:szCs w:val="32"/>
    </w:rPr>
  </w:style>
  <w:style w:type="character" w:customStyle="1" w:styleId="20">
    <w:name w:val="标题 2 字符"/>
    <w:link w:val="2"/>
    <w:autoRedefine/>
    <w:uiPriority w:val="9"/>
    <w:qFormat/>
    <w:rPr>
      <w:rFonts w:ascii="Cambria" w:hAnsi="Cambria"/>
      <w:b/>
      <w:bCs/>
      <w:kern w:val="2"/>
      <w:sz w:val="28"/>
      <w:szCs w:val="32"/>
    </w:rPr>
  </w:style>
  <w:style w:type="character" w:customStyle="1" w:styleId="40">
    <w:name w:val="标题 4 字符"/>
    <w:link w:val="4"/>
    <w:autoRedefine/>
    <w:uiPriority w:val="9"/>
    <w:qFormat/>
    <w:rPr>
      <w:rFonts w:ascii="Cambria" w:eastAsia="宋体" w:hAnsi="Cambria" w:cs="Times New Roman"/>
      <w:b/>
      <w:bCs/>
      <w:kern w:val="2"/>
      <w:sz w:val="24"/>
      <w:szCs w:val="28"/>
    </w:rPr>
  </w:style>
  <w:style w:type="character" w:customStyle="1" w:styleId="af7">
    <w:name w:val="批注框文本 字符"/>
    <w:link w:val="af6"/>
    <w:uiPriority w:val="99"/>
    <w:semiHidden/>
    <w:qFormat/>
    <w:rPr>
      <w:rFonts w:ascii="Times New Roman" w:hAnsi="Times New Roman"/>
      <w:kern w:val="2"/>
      <w:sz w:val="18"/>
      <w:szCs w:val="18"/>
    </w:rPr>
  </w:style>
  <w:style w:type="character" w:customStyle="1" w:styleId="HTML0">
    <w:name w:val="HTML 预设格式 字符"/>
    <w:link w:val="HTML"/>
    <w:autoRedefine/>
    <w:uiPriority w:val="99"/>
    <w:qFormat/>
    <w:rPr>
      <w:rFonts w:ascii="宋体" w:hAnsi="宋体" w:cs="宋体"/>
      <w:sz w:val="24"/>
      <w:szCs w:val="24"/>
    </w:rPr>
  </w:style>
  <w:style w:type="character" w:customStyle="1" w:styleId="Char">
    <w:name w:val="段 Char"/>
    <w:link w:val="aff8"/>
    <w:autoRedefine/>
    <w:qFormat/>
    <w:rPr>
      <w:rFonts w:ascii="宋体" w:hAnsi="Times New Roman"/>
      <w:sz w:val="21"/>
      <w:lang w:bidi="ar-SA"/>
    </w:rPr>
  </w:style>
  <w:style w:type="paragraph" w:customStyle="1" w:styleId="a2">
    <w:name w:val="正文表标题"/>
    <w:next w:val="aff8"/>
    <w:autoRedefine/>
    <w:qFormat/>
    <w:pPr>
      <w:numPr>
        <w:numId w:val="1"/>
      </w:numPr>
      <w:tabs>
        <w:tab w:val="left" w:pos="360"/>
      </w:tabs>
      <w:spacing w:beforeLines="50" w:before="156" w:afterLines="50" w:after="156"/>
      <w:ind w:left="5387"/>
      <w:jc w:val="center"/>
    </w:pPr>
    <w:rPr>
      <w:rFonts w:ascii="黑体" w:eastAsia="黑体"/>
      <w:sz w:val="21"/>
    </w:rPr>
  </w:style>
  <w:style w:type="character" w:customStyle="1" w:styleId="33">
    <w:name w:val="样式3"/>
    <w:uiPriority w:val="1"/>
    <w:qFormat/>
    <w:rPr>
      <w:rFonts w:eastAsia="宋体"/>
      <w:color w:val="000000"/>
      <w:sz w:val="18"/>
    </w:rPr>
  </w:style>
  <w:style w:type="character" w:customStyle="1" w:styleId="22">
    <w:name w:val="正文文本缩进 2 字符"/>
    <w:basedOn w:val="ac"/>
    <w:link w:val="21"/>
    <w:autoRedefine/>
    <w:qFormat/>
    <w:rPr>
      <w:rFonts w:ascii="Times New Roman" w:hAnsi="Times New Roman"/>
      <w:kern w:val="2"/>
      <w:sz w:val="21"/>
      <w:szCs w:val="24"/>
    </w:rPr>
  </w:style>
  <w:style w:type="character" w:customStyle="1" w:styleId="32">
    <w:name w:val="正文文本缩进 3 字符"/>
    <w:basedOn w:val="ac"/>
    <w:link w:val="31"/>
    <w:autoRedefine/>
    <w:qFormat/>
    <w:rPr>
      <w:rFonts w:ascii="Times New Roman" w:hAnsi="Times New Roman"/>
      <w:kern w:val="2"/>
      <w:sz w:val="16"/>
      <w:szCs w:val="16"/>
    </w:rPr>
  </w:style>
  <w:style w:type="character" w:customStyle="1" w:styleId="11">
    <w:name w:val="批注文字 字符1"/>
    <w:link w:val="af1"/>
    <w:autoRedefine/>
    <w:qFormat/>
    <w:rPr>
      <w:kern w:val="2"/>
      <w:sz w:val="21"/>
      <w:szCs w:val="24"/>
    </w:rPr>
  </w:style>
  <w:style w:type="character" w:customStyle="1" w:styleId="affb">
    <w:name w:val="批注文字 字符"/>
    <w:basedOn w:val="ac"/>
    <w:autoRedefine/>
    <w:uiPriority w:val="99"/>
    <w:qFormat/>
    <w:rPr>
      <w:rFonts w:ascii="Times New Roman" w:hAnsi="Times New Roman"/>
      <w:kern w:val="2"/>
      <w:sz w:val="21"/>
      <w:szCs w:val="24"/>
    </w:rPr>
  </w:style>
  <w:style w:type="paragraph" w:customStyle="1" w:styleId="TOC10">
    <w:name w:val="TOC 标题1"/>
    <w:basedOn w:val="1"/>
    <w:next w:val="aa"/>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Char">
    <w:name w:val="标题 1 Char"/>
    <w:autoRedefine/>
    <w:qFormat/>
    <w:rPr>
      <w:b/>
      <w:bCs/>
      <w:kern w:val="44"/>
      <w:sz w:val="44"/>
      <w:szCs w:val="44"/>
    </w:rPr>
  </w:style>
  <w:style w:type="character" w:customStyle="1" w:styleId="Char0">
    <w:name w:val="页眉 Char"/>
    <w:autoRedefine/>
    <w:qFormat/>
    <w:rPr>
      <w:rFonts w:ascii="Times New Roman" w:hAnsi="Times New Roman"/>
      <w:kern w:val="2"/>
      <w:sz w:val="18"/>
      <w:szCs w:val="18"/>
    </w:rPr>
  </w:style>
  <w:style w:type="character" w:customStyle="1" w:styleId="Char1">
    <w:name w:val="文档结构图 Char"/>
    <w:link w:val="15"/>
    <w:autoRedefine/>
    <w:qFormat/>
    <w:rPr>
      <w:rFonts w:ascii="宋体" w:hAnsi="Times New Roman"/>
      <w:kern w:val="2"/>
      <w:sz w:val="18"/>
      <w:szCs w:val="18"/>
    </w:rPr>
  </w:style>
  <w:style w:type="paragraph" w:customStyle="1" w:styleId="15">
    <w:name w:val="文档结构图1"/>
    <w:basedOn w:val="aa"/>
    <w:link w:val="Char1"/>
    <w:qFormat/>
    <w:rPr>
      <w:rFonts w:ascii="宋体"/>
      <w:sz w:val="18"/>
      <w:szCs w:val="18"/>
    </w:rPr>
  </w:style>
  <w:style w:type="character" w:customStyle="1" w:styleId="Char2">
    <w:name w:val="页脚 Char"/>
    <w:autoRedefine/>
    <w:uiPriority w:val="99"/>
    <w:qFormat/>
    <w:rPr>
      <w:rFonts w:ascii="Times New Roman" w:hAnsi="Times New Roman"/>
      <w:kern w:val="2"/>
      <w:sz w:val="18"/>
      <w:szCs w:val="18"/>
    </w:rPr>
  </w:style>
  <w:style w:type="character" w:customStyle="1" w:styleId="Char3">
    <w:name w:val="批注框文本 Char"/>
    <w:autoRedefine/>
    <w:qFormat/>
    <w:rPr>
      <w:rFonts w:ascii="Times New Roman" w:hAnsi="Times New Roman"/>
      <w:kern w:val="2"/>
      <w:sz w:val="18"/>
      <w:szCs w:val="18"/>
    </w:rPr>
  </w:style>
  <w:style w:type="character" w:customStyle="1" w:styleId="title21">
    <w:name w:val="title21"/>
    <w:autoRedefine/>
    <w:qFormat/>
    <w:rPr>
      <w:rFonts w:ascii="楷体_GB2312" w:eastAsia="楷体_GB2312" w:hint="eastAsia"/>
      <w:color w:val="FF0000"/>
      <w:sz w:val="30"/>
      <w:szCs w:val="30"/>
      <w:u w:val="none"/>
    </w:rPr>
  </w:style>
  <w:style w:type="character" w:customStyle="1" w:styleId="13">
    <w:name w:val="纯文本 字符1"/>
    <w:link w:val="af3"/>
    <w:autoRedefine/>
    <w:qFormat/>
    <w:rPr>
      <w:rFonts w:ascii="宋体" w:hAnsi="Courier New"/>
      <w:kern w:val="2"/>
      <w:sz w:val="21"/>
    </w:rPr>
  </w:style>
  <w:style w:type="character" w:customStyle="1" w:styleId="affc">
    <w:name w:val="正文文本缩进 字符"/>
    <w:basedOn w:val="ac"/>
    <w:autoRedefine/>
    <w:uiPriority w:val="99"/>
    <w:semiHidden/>
    <w:qFormat/>
    <w:rPr>
      <w:rFonts w:ascii="Times New Roman" w:hAnsi="Times New Roman"/>
      <w:kern w:val="2"/>
      <w:sz w:val="21"/>
      <w:szCs w:val="24"/>
    </w:rPr>
  </w:style>
  <w:style w:type="character" w:customStyle="1" w:styleId="12">
    <w:name w:val="正文文本缩进 字符1"/>
    <w:link w:val="af2"/>
    <w:autoRedefine/>
    <w:qFormat/>
    <w:rPr>
      <w:rFonts w:ascii="Times New Roman" w:hAnsi="Times New Roman"/>
      <w:kern w:val="2"/>
      <w:sz w:val="28"/>
      <w:szCs w:val="28"/>
    </w:rPr>
  </w:style>
  <w:style w:type="character" w:customStyle="1" w:styleId="affd">
    <w:name w:val="纯文本 字符"/>
    <w:basedOn w:val="ac"/>
    <w:autoRedefine/>
    <w:uiPriority w:val="99"/>
    <w:semiHidden/>
    <w:qFormat/>
    <w:rPr>
      <w:rFonts w:asciiTheme="minorEastAsia" w:eastAsiaTheme="minorEastAsia" w:hAnsi="Courier New" w:cs="Courier New"/>
      <w:kern w:val="2"/>
      <w:sz w:val="21"/>
      <w:szCs w:val="24"/>
    </w:rPr>
  </w:style>
  <w:style w:type="character" w:customStyle="1" w:styleId="Char10">
    <w:name w:val="纯文本 Char1"/>
    <w:autoRedefine/>
    <w:uiPriority w:val="99"/>
    <w:semiHidden/>
    <w:qFormat/>
    <w:rPr>
      <w:rFonts w:ascii="宋体" w:hAnsi="Courier New" w:cs="Courier New"/>
      <w:kern w:val="2"/>
      <w:sz w:val="21"/>
      <w:szCs w:val="21"/>
    </w:rPr>
  </w:style>
  <w:style w:type="paragraph" w:customStyle="1" w:styleId="affe">
    <w:name w:val="段落"/>
    <w:basedOn w:val="aa"/>
    <w:qFormat/>
    <w:pPr>
      <w:widowControl/>
      <w:adjustRightInd w:val="0"/>
      <w:spacing w:line="420" w:lineRule="exact"/>
      <w:ind w:firstLineChars="200" w:firstLine="520"/>
      <w:textAlignment w:val="baseline"/>
    </w:pPr>
    <w:rPr>
      <w:spacing w:val="10"/>
      <w:kern w:val="0"/>
      <w:sz w:val="24"/>
      <w:szCs w:val="20"/>
    </w:rPr>
  </w:style>
  <w:style w:type="paragraph" w:customStyle="1" w:styleId="Style64">
    <w:name w:val="_Style 64"/>
    <w:basedOn w:val="aa"/>
    <w:next w:val="aa"/>
    <w:autoRedefine/>
    <w:uiPriority w:val="39"/>
    <w:unhideWhenUsed/>
    <w:qFormat/>
    <w:pPr>
      <w:tabs>
        <w:tab w:val="right" w:leader="dot" w:pos="8302"/>
      </w:tabs>
      <w:adjustRightInd w:val="0"/>
      <w:snapToGrid w:val="0"/>
      <w:spacing w:before="120"/>
      <w:ind w:firstLineChars="200" w:firstLine="480"/>
    </w:pPr>
  </w:style>
  <w:style w:type="paragraph" w:customStyle="1" w:styleId="23">
    <w:name w:val="标题2"/>
    <w:basedOn w:val="aa"/>
    <w:next w:val="aa"/>
    <w:autoRedefine/>
    <w:qFormat/>
    <w:rPr>
      <w:rFonts w:ascii="黑体" w:eastAsia="黑体" w:hAnsi="宋体"/>
      <w:sz w:val="28"/>
      <w:szCs w:val="28"/>
    </w:rPr>
  </w:style>
  <w:style w:type="paragraph" w:customStyle="1" w:styleId="34">
    <w:name w:val="标题3"/>
    <w:basedOn w:val="23"/>
    <w:autoRedefine/>
    <w:qFormat/>
    <w:rPr>
      <w:sz w:val="24"/>
    </w:rPr>
  </w:style>
  <w:style w:type="character" w:customStyle="1" w:styleId="2Char">
    <w:name w:val="标题 2 Char"/>
    <w:autoRedefine/>
    <w:uiPriority w:val="9"/>
    <w:semiHidden/>
    <w:qFormat/>
    <w:rPr>
      <w:rFonts w:ascii="Cambria" w:eastAsia="宋体" w:hAnsi="Cambria" w:cs="Times New Roman"/>
      <w:b/>
      <w:bCs/>
      <w:kern w:val="2"/>
      <w:sz w:val="32"/>
      <w:szCs w:val="32"/>
    </w:rPr>
  </w:style>
  <w:style w:type="character" w:customStyle="1" w:styleId="Char4">
    <w:name w:val="日期 Char"/>
    <w:autoRedefine/>
    <w:uiPriority w:val="99"/>
    <w:semiHidden/>
    <w:qFormat/>
    <w:rPr>
      <w:kern w:val="2"/>
      <w:sz w:val="21"/>
      <w:szCs w:val="24"/>
    </w:rPr>
  </w:style>
  <w:style w:type="character" w:customStyle="1" w:styleId="4Char">
    <w:name w:val="标题 4 Char"/>
    <w:uiPriority w:val="9"/>
    <w:semiHidden/>
    <w:qFormat/>
    <w:rPr>
      <w:rFonts w:ascii="Cambria" w:eastAsia="宋体" w:hAnsi="Cambria" w:cs="Times New Roman"/>
      <w:b/>
      <w:bCs/>
      <w:kern w:val="2"/>
      <w:sz w:val="28"/>
      <w:szCs w:val="28"/>
    </w:rPr>
  </w:style>
  <w:style w:type="character" w:customStyle="1" w:styleId="2Char0">
    <w:name w:val="正文文本缩进 2 Char"/>
    <w:qFormat/>
    <w:rPr>
      <w:kern w:val="2"/>
      <w:sz w:val="21"/>
      <w:szCs w:val="24"/>
    </w:rPr>
  </w:style>
  <w:style w:type="character" w:customStyle="1" w:styleId="Char5">
    <w:name w:val="批注文字 Char"/>
    <w:autoRedefine/>
    <w:uiPriority w:val="99"/>
    <w:semiHidden/>
    <w:qFormat/>
    <w:rPr>
      <w:kern w:val="2"/>
      <w:sz w:val="21"/>
      <w:szCs w:val="24"/>
    </w:rPr>
  </w:style>
  <w:style w:type="character" w:customStyle="1" w:styleId="afff">
    <w:name w:val="批注主题 字符"/>
    <w:basedOn w:val="11"/>
    <w:autoRedefine/>
    <w:qFormat/>
    <w:rPr>
      <w:rFonts w:ascii="Times New Roman" w:hAnsi="Times New Roman"/>
      <w:b/>
      <w:bCs/>
      <w:kern w:val="2"/>
      <w:sz w:val="21"/>
      <w:szCs w:val="24"/>
    </w:rPr>
  </w:style>
  <w:style w:type="character" w:customStyle="1" w:styleId="14">
    <w:name w:val="批注主题 字符1"/>
    <w:link w:val="aff0"/>
    <w:autoRedefine/>
    <w:qFormat/>
    <w:rPr>
      <w:rFonts w:ascii="Times New Roman" w:hAnsi="Times New Roman"/>
      <w:b/>
      <w:bCs/>
      <w:kern w:val="2"/>
      <w:sz w:val="21"/>
      <w:szCs w:val="24"/>
    </w:rPr>
  </w:style>
  <w:style w:type="paragraph" w:styleId="afff0">
    <w:name w:val="No Spacing"/>
    <w:link w:val="afff1"/>
    <w:autoRedefine/>
    <w:uiPriority w:val="1"/>
    <w:qFormat/>
    <w:rPr>
      <w:rFonts w:ascii="Calibri" w:hAnsi="Calibri"/>
      <w:sz w:val="22"/>
      <w:szCs w:val="22"/>
    </w:rPr>
  </w:style>
  <w:style w:type="character" w:customStyle="1" w:styleId="afff1">
    <w:name w:val="无间隔 字符"/>
    <w:link w:val="afff0"/>
    <w:autoRedefine/>
    <w:uiPriority w:val="1"/>
    <w:qFormat/>
    <w:rPr>
      <w:sz w:val="22"/>
      <w:szCs w:val="22"/>
    </w:rPr>
  </w:style>
  <w:style w:type="paragraph" w:customStyle="1" w:styleId="16">
    <w:name w:val="修订1"/>
    <w:autoRedefine/>
    <w:hidden/>
    <w:uiPriority w:val="99"/>
    <w:semiHidden/>
    <w:qFormat/>
    <w:rPr>
      <w:kern w:val="2"/>
      <w:sz w:val="21"/>
      <w:szCs w:val="24"/>
    </w:rPr>
  </w:style>
  <w:style w:type="character" w:customStyle="1" w:styleId="af">
    <w:name w:val="正文文本 字符"/>
    <w:basedOn w:val="ac"/>
    <w:link w:val="ab"/>
    <w:autoRedefine/>
    <w:qFormat/>
    <w:rPr>
      <w:rFonts w:ascii="Times New Roman" w:hAnsi="Times New Roman"/>
      <w:kern w:val="2"/>
      <w:sz w:val="28"/>
    </w:rPr>
  </w:style>
  <w:style w:type="character" w:customStyle="1" w:styleId="ztplmc">
    <w:name w:val="ztplmc"/>
    <w:basedOn w:val="ac"/>
    <w:autoRedefine/>
    <w:qFormat/>
  </w:style>
  <w:style w:type="character" w:customStyle="1" w:styleId="viiyi">
    <w:name w:val="viiyi"/>
    <w:basedOn w:val="ac"/>
    <w:qFormat/>
  </w:style>
  <w:style w:type="character" w:customStyle="1" w:styleId="jlqj4b">
    <w:name w:val="jlqj4b"/>
    <w:basedOn w:val="ac"/>
    <w:autoRedefine/>
    <w:qFormat/>
  </w:style>
  <w:style w:type="character" w:customStyle="1" w:styleId="material-icons-extended">
    <w:name w:val="material-icons-extended"/>
    <w:basedOn w:val="ac"/>
    <w:autoRedefine/>
    <w:qFormat/>
  </w:style>
  <w:style w:type="character" w:customStyle="1" w:styleId="fontstyle01">
    <w:name w:val="fontstyle01"/>
    <w:autoRedefine/>
    <w:qFormat/>
    <w:rPr>
      <w:rFonts w:ascii="宋体" w:eastAsia="宋体" w:hAnsi="宋体" w:hint="eastAsia"/>
      <w:color w:val="000000"/>
      <w:sz w:val="24"/>
      <w:szCs w:val="24"/>
    </w:rPr>
  </w:style>
  <w:style w:type="paragraph" w:customStyle="1" w:styleId="Default">
    <w:name w:val="Default"/>
    <w:autoRedefine/>
    <w:qFormat/>
    <w:pPr>
      <w:widowControl w:val="0"/>
      <w:autoSpaceDE w:val="0"/>
      <w:autoSpaceDN w:val="0"/>
      <w:adjustRightInd w:val="0"/>
    </w:pPr>
    <w:rPr>
      <w:rFonts w:ascii="Charis SIL" w:eastAsia="Charis SIL" w:cs="Charis SIL"/>
      <w:color w:val="000000"/>
      <w:sz w:val="24"/>
      <w:szCs w:val="24"/>
    </w:rPr>
  </w:style>
  <w:style w:type="character" w:customStyle="1" w:styleId="opdict3chinsetxt">
    <w:name w:val="op_dict3_chinsetxt"/>
    <w:basedOn w:val="ac"/>
    <w:autoRedefine/>
    <w:qFormat/>
  </w:style>
  <w:style w:type="character" w:customStyle="1" w:styleId="aff7">
    <w:name w:val="列表段落 字符"/>
    <w:link w:val="a1"/>
    <w:autoRedefine/>
    <w:uiPriority w:val="34"/>
    <w:qFormat/>
    <w:locked/>
    <w:rsid w:val="00F7042F"/>
    <w:rPr>
      <w:kern w:val="2"/>
      <w:sz w:val="21"/>
      <w:szCs w:val="24"/>
    </w:rPr>
  </w:style>
  <w:style w:type="table" w:customStyle="1" w:styleId="afff2">
    <w:name w:val="三线格"/>
    <w:basedOn w:val="ad"/>
    <w:autoRedefine/>
    <w:uiPriority w:val="99"/>
    <w:qFormat/>
    <w:pPr>
      <w:spacing w:line="360" w:lineRule="auto"/>
    </w:pPr>
    <w:rPr>
      <w:kern w:val="2"/>
      <w:sz w:val="21"/>
      <w:szCs w:val="22"/>
    </w:rPr>
    <w:tblPr>
      <w:jc w:val="center"/>
      <w:tblBorders>
        <w:top w:val="single" w:sz="12" w:space="0" w:color="auto"/>
        <w:bottom w:val="single" w:sz="12" w:space="0" w:color="auto"/>
      </w:tblBorders>
    </w:tblPr>
    <w:trPr>
      <w:jc w:val="center"/>
    </w:trPr>
    <w:tcPr>
      <w:vAlign w:val="center"/>
    </w:tcPr>
    <w:tblStylePr w:type="firstRow">
      <w:tblPr/>
      <w:tcPr>
        <w:tcBorders>
          <w:bottom w:val="single" w:sz="4" w:space="0" w:color="auto"/>
        </w:tcBorders>
      </w:tcPr>
    </w:tblStylePr>
  </w:style>
  <w:style w:type="character" w:customStyle="1" w:styleId="17">
    <w:name w:val="未处理的提及1"/>
    <w:autoRedefine/>
    <w:uiPriority w:val="99"/>
    <w:semiHidden/>
    <w:unhideWhenUsed/>
    <w:qFormat/>
    <w:rPr>
      <w:color w:val="605E5C"/>
      <w:shd w:val="clear" w:color="auto" w:fill="E1DFDD"/>
    </w:rPr>
  </w:style>
  <w:style w:type="character" w:customStyle="1" w:styleId="hlfld-title">
    <w:name w:val="hlfld-title"/>
    <w:basedOn w:val="ac"/>
    <w:autoRedefine/>
    <w:qFormat/>
  </w:style>
  <w:style w:type="character" w:customStyle="1" w:styleId="hlfld-contribauthor">
    <w:name w:val="hlfld-contribauthor"/>
    <w:basedOn w:val="ac"/>
    <w:autoRedefine/>
    <w:qFormat/>
  </w:style>
  <w:style w:type="character" w:customStyle="1" w:styleId="comma-separator">
    <w:name w:val="comma-separator"/>
    <w:basedOn w:val="ac"/>
    <w:autoRedefine/>
    <w:qFormat/>
  </w:style>
  <w:style w:type="character" w:customStyle="1" w:styleId="cit-title">
    <w:name w:val="cit-title"/>
    <w:basedOn w:val="ac"/>
    <w:autoRedefine/>
    <w:qFormat/>
  </w:style>
  <w:style w:type="character" w:customStyle="1" w:styleId="cit-year-info">
    <w:name w:val="cit-year-info"/>
    <w:basedOn w:val="ac"/>
    <w:autoRedefine/>
    <w:qFormat/>
  </w:style>
  <w:style w:type="character" w:customStyle="1" w:styleId="cit-volume">
    <w:name w:val="cit-volume"/>
    <w:basedOn w:val="ac"/>
    <w:autoRedefine/>
    <w:qFormat/>
  </w:style>
  <w:style w:type="character" w:customStyle="1" w:styleId="cit-issue">
    <w:name w:val="cit-issue"/>
    <w:basedOn w:val="ac"/>
    <w:autoRedefine/>
    <w:qFormat/>
  </w:style>
  <w:style w:type="character" w:customStyle="1" w:styleId="cit-pagerange">
    <w:name w:val="cit-pagerange"/>
    <w:basedOn w:val="ac"/>
    <w:autoRedefine/>
    <w:qFormat/>
  </w:style>
  <w:style w:type="character" w:customStyle="1" w:styleId="accordion-tabbedtab-mobile">
    <w:name w:val="accordion-tabbed__tab-mobile"/>
    <w:basedOn w:val="ac"/>
    <w:autoRedefine/>
    <w:qFormat/>
  </w:style>
  <w:style w:type="paragraph" w:customStyle="1" w:styleId="volume-issue">
    <w:name w:val="volume-issue"/>
    <w:basedOn w:val="aa"/>
    <w:autoRedefine/>
    <w:qFormat/>
    <w:pPr>
      <w:widowControl/>
      <w:spacing w:before="100" w:beforeAutospacing="1" w:after="100" w:afterAutospacing="1"/>
      <w:jc w:val="left"/>
    </w:pPr>
    <w:rPr>
      <w:rFonts w:ascii="宋体" w:hAnsi="宋体" w:cs="宋体"/>
      <w:kern w:val="0"/>
      <w:sz w:val="24"/>
    </w:rPr>
  </w:style>
  <w:style w:type="character" w:customStyle="1" w:styleId="val">
    <w:name w:val="val"/>
    <w:basedOn w:val="ac"/>
    <w:autoRedefine/>
    <w:qFormat/>
  </w:style>
  <w:style w:type="paragraph" w:customStyle="1" w:styleId="page-range">
    <w:name w:val="page-range"/>
    <w:basedOn w:val="aa"/>
    <w:qFormat/>
    <w:pPr>
      <w:widowControl/>
      <w:spacing w:before="100" w:beforeAutospacing="1" w:after="100" w:afterAutospacing="1"/>
      <w:jc w:val="left"/>
    </w:pPr>
    <w:rPr>
      <w:rFonts w:ascii="宋体" w:hAnsi="宋体" w:cs="宋体"/>
      <w:kern w:val="0"/>
      <w:sz w:val="24"/>
    </w:rPr>
  </w:style>
  <w:style w:type="character" w:customStyle="1" w:styleId="ng-star-inserted">
    <w:name w:val="ng-star-inserted"/>
    <w:basedOn w:val="ac"/>
    <w:autoRedefine/>
    <w:qFormat/>
  </w:style>
  <w:style w:type="character" w:customStyle="1" w:styleId="font-size-14">
    <w:name w:val="font-size-14"/>
    <w:basedOn w:val="ac"/>
    <w:autoRedefine/>
    <w:qFormat/>
  </w:style>
  <w:style w:type="paragraph" w:customStyle="1" w:styleId="afff3">
    <w:name w:val="表"/>
    <w:next w:val="aa"/>
    <w:autoRedefine/>
    <w:qFormat/>
    <w:pPr>
      <w:spacing w:line="300" w:lineRule="exact"/>
      <w:jc w:val="center"/>
    </w:pPr>
    <w:rPr>
      <w:sz w:val="18"/>
      <w:szCs w:val="22"/>
    </w:rPr>
  </w:style>
  <w:style w:type="character" w:customStyle="1" w:styleId="Char6">
    <w:name w:val="表格 Char"/>
    <w:link w:val="afff4"/>
    <w:autoRedefine/>
    <w:qFormat/>
    <w:rPr>
      <w:rFonts w:ascii="Times New Roman" w:hAnsi="Times New Roman"/>
      <w:sz w:val="18"/>
    </w:rPr>
  </w:style>
  <w:style w:type="paragraph" w:customStyle="1" w:styleId="afff4">
    <w:name w:val="表格"/>
    <w:basedOn w:val="aa"/>
    <w:link w:val="Char6"/>
    <w:autoRedefine/>
    <w:qFormat/>
    <w:pPr>
      <w:widowControl/>
      <w:spacing w:line="400" w:lineRule="exact"/>
      <w:jc w:val="center"/>
    </w:pPr>
    <w:rPr>
      <w:kern w:val="0"/>
      <w:sz w:val="18"/>
      <w:szCs w:val="20"/>
    </w:rPr>
  </w:style>
  <w:style w:type="paragraph" w:customStyle="1" w:styleId="a0">
    <w:name w:val="附录图标题"/>
    <w:basedOn w:val="aa"/>
    <w:next w:val="aff8"/>
    <w:autoRedefine/>
    <w:qFormat/>
    <w:pPr>
      <w:numPr>
        <w:ilvl w:val="1"/>
        <w:numId w:val="2"/>
      </w:numPr>
      <w:tabs>
        <w:tab w:val="left" w:pos="363"/>
      </w:tabs>
      <w:spacing w:beforeLines="50" w:before="50" w:afterLines="50" w:after="50"/>
      <w:ind w:left="0" w:firstLine="0"/>
      <w:jc w:val="center"/>
    </w:pPr>
    <w:rPr>
      <w:rFonts w:ascii="黑体" w:eastAsia="黑体"/>
      <w:szCs w:val="21"/>
    </w:rPr>
  </w:style>
  <w:style w:type="paragraph" w:customStyle="1" w:styleId="a">
    <w:name w:val="附录图标号"/>
    <w:basedOn w:val="aa"/>
    <w:autoRedefine/>
    <w:qFormat/>
    <w:pPr>
      <w:keepNext/>
      <w:pageBreakBefore/>
      <w:widowControl/>
      <w:numPr>
        <w:numId w:val="2"/>
      </w:numPr>
      <w:spacing w:line="14" w:lineRule="exact"/>
      <w:ind w:left="0" w:firstLine="363"/>
      <w:jc w:val="center"/>
      <w:outlineLvl w:val="0"/>
    </w:pPr>
    <w:rPr>
      <w:color w:val="FFFFFF"/>
    </w:rPr>
  </w:style>
  <w:style w:type="paragraph" w:customStyle="1" w:styleId="afff5">
    <w:name w:val="标准文件_段"/>
    <w:link w:val="Char7"/>
    <w:autoRedefine/>
    <w:qFormat/>
    <w:pPr>
      <w:autoSpaceDE w:val="0"/>
      <w:autoSpaceDN w:val="0"/>
      <w:ind w:firstLineChars="200" w:firstLine="200"/>
      <w:jc w:val="both"/>
    </w:pPr>
    <w:rPr>
      <w:rFonts w:ascii="宋体"/>
      <w:sz w:val="21"/>
    </w:rPr>
  </w:style>
  <w:style w:type="character" w:customStyle="1" w:styleId="Char7">
    <w:name w:val="标准文件_段 Char"/>
    <w:link w:val="afff5"/>
    <w:autoRedefine/>
    <w:qFormat/>
    <w:rPr>
      <w:rFonts w:ascii="宋体" w:hAnsi="Times New Roman"/>
      <w:sz w:val="21"/>
    </w:rPr>
  </w:style>
  <w:style w:type="character" w:customStyle="1" w:styleId="textjayku">
    <w:name w:val="text_jayku"/>
    <w:basedOn w:val="ac"/>
    <w:rsid w:val="00DA01B4"/>
  </w:style>
  <w:style w:type="paragraph" w:customStyle="1" w:styleId="a6">
    <w:name w:val="标准文件_二级条标题"/>
    <w:next w:val="aa"/>
    <w:qFormat/>
    <w:rsid w:val="000D2117"/>
    <w:pPr>
      <w:widowControl w:val="0"/>
      <w:numPr>
        <w:ilvl w:val="3"/>
        <w:numId w:val="5"/>
      </w:numPr>
      <w:spacing w:beforeLines="50" w:afterLines="50"/>
      <w:ind w:left="0"/>
      <w:jc w:val="both"/>
      <w:outlineLvl w:val="2"/>
    </w:pPr>
    <w:rPr>
      <w:rFonts w:ascii="黑体" w:eastAsia="黑体"/>
      <w:sz w:val="21"/>
    </w:rPr>
  </w:style>
  <w:style w:type="paragraph" w:customStyle="1" w:styleId="a7">
    <w:name w:val="标准文件_三级条标题"/>
    <w:basedOn w:val="a6"/>
    <w:next w:val="aa"/>
    <w:qFormat/>
    <w:rsid w:val="000D2117"/>
    <w:pPr>
      <w:widowControl/>
      <w:numPr>
        <w:ilvl w:val="4"/>
      </w:numPr>
      <w:outlineLvl w:val="3"/>
    </w:pPr>
  </w:style>
  <w:style w:type="paragraph" w:customStyle="1" w:styleId="a8">
    <w:name w:val="标准文件_四级条标题"/>
    <w:next w:val="aa"/>
    <w:qFormat/>
    <w:rsid w:val="000D2117"/>
    <w:pPr>
      <w:widowControl w:val="0"/>
      <w:numPr>
        <w:ilvl w:val="5"/>
        <w:numId w:val="5"/>
      </w:numPr>
      <w:spacing w:beforeLines="50" w:afterLines="50"/>
      <w:jc w:val="both"/>
      <w:outlineLvl w:val="4"/>
    </w:pPr>
    <w:rPr>
      <w:rFonts w:ascii="黑体" w:eastAsia="黑体"/>
      <w:sz w:val="21"/>
    </w:rPr>
  </w:style>
  <w:style w:type="paragraph" w:customStyle="1" w:styleId="a9">
    <w:name w:val="标准文件_五级条标题"/>
    <w:next w:val="aa"/>
    <w:qFormat/>
    <w:rsid w:val="000D2117"/>
    <w:pPr>
      <w:widowControl w:val="0"/>
      <w:numPr>
        <w:ilvl w:val="6"/>
        <w:numId w:val="5"/>
      </w:numPr>
      <w:spacing w:beforeLines="50" w:afterLines="50"/>
      <w:jc w:val="both"/>
      <w:outlineLvl w:val="5"/>
    </w:pPr>
    <w:rPr>
      <w:rFonts w:ascii="黑体" w:eastAsia="黑体"/>
      <w:sz w:val="21"/>
    </w:rPr>
  </w:style>
  <w:style w:type="paragraph" w:customStyle="1" w:styleId="a4">
    <w:name w:val="标准文件_章标题"/>
    <w:next w:val="aa"/>
    <w:qFormat/>
    <w:rsid w:val="000D2117"/>
    <w:pPr>
      <w:numPr>
        <w:ilvl w:val="1"/>
        <w:numId w:val="5"/>
      </w:numPr>
      <w:spacing w:beforeLines="100" w:afterLines="100"/>
      <w:jc w:val="both"/>
      <w:outlineLvl w:val="0"/>
    </w:pPr>
    <w:rPr>
      <w:rFonts w:ascii="黑体" w:eastAsia="黑体"/>
      <w:sz w:val="21"/>
    </w:rPr>
  </w:style>
  <w:style w:type="paragraph" w:customStyle="1" w:styleId="a5">
    <w:name w:val="标准文件_一级条标题"/>
    <w:basedOn w:val="a4"/>
    <w:next w:val="aa"/>
    <w:qFormat/>
    <w:rsid w:val="000D2117"/>
    <w:pPr>
      <w:numPr>
        <w:ilvl w:val="2"/>
      </w:numPr>
      <w:spacing w:beforeLines="50" w:afterLines="50"/>
      <w:ind w:left="0"/>
      <w:outlineLvl w:val="1"/>
    </w:pPr>
  </w:style>
  <w:style w:type="paragraph" w:customStyle="1" w:styleId="a3">
    <w:name w:val="前言标题"/>
    <w:next w:val="aa"/>
    <w:qFormat/>
    <w:rsid w:val="000D2117"/>
    <w:pPr>
      <w:numPr>
        <w:numId w:val="5"/>
      </w:numPr>
      <w:shd w:val="clear" w:color="FFFFFF" w:fill="FFFFFF"/>
      <w:spacing w:before="540" w:after="600"/>
      <w:jc w:val="center"/>
      <w:outlineLvl w:val="0"/>
    </w:pPr>
    <w:rPr>
      <w:rFonts w:ascii="黑体" w:eastAsia="黑体"/>
      <w:sz w:val="32"/>
    </w:rPr>
  </w:style>
  <w:style w:type="paragraph" w:customStyle="1" w:styleId="Bodytext1">
    <w:name w:val="Body text|1"/>
    <w:basedOn w:val="aa"/>
    <w:rsid w:val="000D2117"/>
    <w:pPr>
      <w:spacing w:line="345" w:lineRule="auto"/>
      <w:ind w:firstLine="280"/>
      <w:jc w:val="left"/>
    </w:pPr>
    <w:rPr>
      <w:rFonts w:ascii="宋体" w:hAnsi="宋体" w:cs="宋体"/>
      <w:color w:val="000000"/>
      <w:kern w:val="0"/>
      <w:sz w:val="19"/>
      <w:szCs w:val="19"/>
    </w:rPr>
  </w:style>
  <w:style w:type="paragraph" w:customStyle="1" w:styleId="Other1">
    <w:name w:val="Other|1"/>
    <w:basedOn w:val="aa"/>
    <w:qFormat/>
    <w:rsid w:val="000D2117"/>
    <w:pPr>
      <w:spacing w:line="345" w:lineRule="auto"/>
      <w:ind w:firstLine="280"/>
      <w:jc w:val="left"/>
    </w:pPr>
    <w:rPr>
      <w:rFonts w:ascii="宋体" w:hAnsi="宋体" w:cs="宋体"/>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517917">
      <w:bodyDiv w:val="1"/>
      <w:marLeft w:val="0"/>
      <w:marRight w:val="0"/>
      <w:marTop w:val="0"/>
      <w:marBottom w:val="0"/>
      <w:divBdr>
        <w:top w:val="none" w:sz="0" w:space="0" w:color="auto"/>
        <w:left w:val="none" w:sz="0" w:space="0" w:color="auto"/>
        <w:bottom w:val="none" w:sz="0" w:space="0" w:color="auto"/>
        <w:right w:val="none" w:sz="0" w:space="0" w:color="auto"/>
      </w:divBdr>
      <w:divsChild>
        <w:div w:id="519510424">
          <w:marLeft w:val="0"/>
          <w:marRight w:val="0"/>
          <w:marTop w:val="0"/>
          <w:marBottom w:val="0"/>
          <w:divBdr>
            <w:top w:val="none" w:sz="0" w:space="0" w:color="auto"/>
            <w:left w:val="none" w:sz="0" w:space="0" w:color="auto"/>
            <w:bottom w:val="none" w:sz="0" w:space="0" w:color="auto"/>
            <w:right w:val="none" w:sz="0" w:space="0" w:color="auto"/>
          </w:divBdr>
        </w:div>
        <w:div w:id="1720979652">
          <w:marLeft w:val="0"/>
          <w:marRight w:val="0"/>
          <w:marTop w:val="0"/>
          <w:marBottom w:val="0"/>
          <w:divBdr>
            <w:top w:val="none" w:sz="0" w:space="0" w:color="auto"/>
            <w:left w:val="none" w:sz="0" w:space="0" w:color="auto"/>
            <w:bottom w:val="none" w:sz="0" w:space="0" w:color="auto"/>
            <w:right w:val="none" w:sz="0" w:space="0" w:color="auto"/>
          </w:divBdr>
        </w:div>
        <w:div w:id="1283463719">
          <w:marLeft w:val="0"/>
          <w:marRight w:val="0"/>
          <w:marTop w:val="0"/>
          <w:marBottom w:val="0"/>
          <w:divBdr>
            <w:top w:val="none" w:sz="0" w:space="0" w:color="auto"/>
            <w:left w:val="none" w:sz="0" w:space="0" w:color="auto"/>
            <w:bottom w:val="none" w:sz="0" w:space="0" w:color="auto"/>
            <w:right w:val="none" w:sz="0" w:space="0" w:color="auto"/>
          </w:divBdr>
        </w:div>
        <w:div w:id="1327439274">
          <w:marLeft w:val="0"/>
          <w:marRight w:val="0"/>
          <w:marTop w:val="0"/>
          <w:marBottom w:val="0"/>
          <w:divBdr>
            <w:top w:val="none" w:sz="0" w:space="0" w:color="auto"/>
            <w:left w:val="none" w:sz="0" w:space="0" w:color="auto"/>
            <w:bottom w:val="none" w:sz="0" w:space="0" w:color="auto"/>
            <w:right w:val="none" w:sz="0" w:space="0" w:color="auto"/>
          </w:divBdr>
        </w:div>
        <w:div w:id="524486482">
          <w:marLeft w:val="0"/>
          <w:marRight w:val="0"/>
          <w:marTop w:val="0"/>
          <w:marBottom w:val="0"/>
          <w:divBdr>
            <w:top w:val="none" w:sz="0" w:space="0" w:color="auto"/>
            <w:left w:val="none" w:sz="0" w:space="0" w:color="auto"/>
            <w:bottom w:val="none" w:sz="0" w:space="0" w:color="auto"/>
            <w:right w:val="none" w:sz="0" w:space="0" w:color="auto"/>
          </w:divBdr>
        </w:div>
        <w:div w:id="1410493369">
          <w:marLeft w:val="0"/>
          <w:marRight w:val="0"/>
          <w:marTop w:val="0"/>
          <w:marBottom w:val="0"/>
          <w:divBdr>
            <w:top w:val="none" w:sz="0" w:space="0" w:color="auto"/>
            <w:left w:val="none" w:sz="0" w:space="0" w:color="auto"/>
            <w:bottom w:val="none" w:sz="0" w:space="0" w:color="auto"/>
            <w:right w:val="none" w:sz="0" w:space="0" w:color="auto"/>
          </w:divBdr>
        </w:div>
        <w:div w:id="1125583476">
          <w:marLeft w:val="0"/>
          <w:marRight w:val="0"/>
          <w:marTop w:val="0"/>
          <w:marBottom w:val="0"/>
          <w:divBdr>
            <w:top w:val="none" w:sz="0" w:space="0" w:color="auto"/>
            <w:left w:val="none" w:sz="0" w:space="0" w:color="auto"/>
            <w:bottom w:val="none" w:sz="0" w:space="0" w:color="auto"/>
            <w:right w:val="none" w:sz="0" w:space="0" w:color="auto"/>
          </w:divBdr>
        </w:div>
        <w:div w:id="566842835">
          <w:marLeft w:val="0"/>
          <w:marRight w:val="0"/>
          <w:marTop w:val="0"/>
          <w:marBottom w:val="0"/>
          <w:divBdr>
            <w:top w:val="none" w:sz="0" w:space="0" w:color="auto"/>
            <w:left w:val="none" w:sz="0" w:space="0" w:color="auto"/>
            <w:bottom w:val="none" w:sz="0" w:space="0" w:color="auto"/>
            <w:right w:val="none" w:sz="0" w:space="0" w:color="auto"/>
          </w:divBdr>
        </w:div>
        <w:div w:id="636760970">
          <w:marLeft w:val="0"/>
          <w:marRight w:val="0"/>
          <w:marTop w:val="0"/>
          <w:marBottom w:val="0"/>
          <w:divBdr>
            <w:top w:val="none" w:sz="0" w:space="0" w:color="auto"/>
            <w:left w:val="none" w:sz="0" w:space="0" w:color="auto"/>
            <w:bottom w:val="none" w:sz="0" w:space="0" w:color="auto"/>
            <w:right w:val="none" w:sz="0" w:space="0" w:color="auto"/>
          </w:divBdr>
        </w:div>
        <w:div w:id="1083603628">
          <w:marLeft w:val="0"/>
          <w:marRight w:val="0"/>
          <w:marTop w:val="0"/>
          <w:marBottom w:val="0"/>
          <w:divBdr>
            <w:top w:val="none" w:sz="0" w:space="0" w:color="auto"/>
            <w:left w:val="none" w:sz="0" w:space="0" w:color="auto"/>
            <w:bottom w:val="none" w:sz="0" w:space="0" w:color="auto"/>
            <w:right w:val="none" w:sz="0" w:space="0" w:color="auto"/>
          </w:divBdr>
        </w:div>
        <w:div w:id="1164932009">
          <w:marLeft w:val="0"/>
          <w:marRight w:val="0"/>
          <w:marTop w:val="0"/>
          <w:marBottom w:val="0"/>
          <w:divBdr>
            <w:top w:val="none" w:sz="0" w:space="0" w:color="auto"/>
            <w:left w:val="none" w:sz="0" w:space="0" w:color="auto"/>
            <w:bottom w:val="none" w:sz="0" w:space="0" w:color="auto"/>
            <w:right w:val="none" w:sz="0" w:space="0" w:color="auto"/>
          </w:divBdr>
        </w:div>
        <w:div w:id="1411346122">
          <w:marLeft w:val="0"/>
          <w:marRight w:val="0"/>
          <w:marTop w:val="0"/>
          <w:marBottom w:val="0"/>
          <w:divBdr>
            <w:top w:val="none" w:sz="0" w:space="0" w:color="auto"/>
            <w:left w:val="none" w:sz="0" w:space="0" w:color="auto"/>
            <w:bottom w:val="none" w:sz="0" w:space="0" w:color="auto"/>
            <w:right w:val="none" w:sz="0" w:space="0" w:color="auto"/>
          </w:divBdr>
        </w:div>
        <w:div w:id="1827279704">
          <w:marLeft w:val="0"/>
          <w:marRight w:val="0"/>
          <w:marTop w:val="0"/>
          <w:marBottom w:val="0"/>
          <w:divBdr>
            <w:top w:val="none" w:sz="0" w:space="0" w:color="auto"/>
            <w:left w:val="none" w:sz="0" w:space="0" w:color="auto"/>
            <w:bottom w:val="none" w:sz="0" w:space="0" w:color="auto"/>
            <w:right w:val="none" w:sz="0" w:space="0" w:color="auto"/>
          </w:divBdr>
        </w:div>
        <w:div w:id="316615996">
          <w:marLeft w:val="0"/>
          <w:marRight w:val="0"/>
          <w:marTop w:val="0"/>
          <w:marBottom w:val="0"/>
          <w:divBdr>
            <w:top w:val="none" w:sz="0" w:space="0" w:color="auto"/>
            <w:left w:val="none" w:sz="0" w:space="0" w:color="auto"/>
            <w:bottom w:val="none" w:sz="0" w:space="0" w:color="auto"/>
            <w:right w:val="none" w:sz="0" w:space="0" w:color="auto"/>
          </w:divBdr>
        </w:div>
        <w:div w:id="1515537888">
          <w:marLeft w:val="0"/>
          <w:marRight w:val="0"/>
          <w:marTop w:val="0"/>
          <w:marBottom w:val="0"/>
          <w:divBdr>
            <w:top w:val="none" w:sz="0" w:space="0" w:color="auto"/>
            <w:left w:val="none" w:sz="0" w:space="0" w:color="auto"/>
            <w:bottom w:val="none" w:sz="0" w:space="0" w:color="auto"/>
            <w:right w:val="none" w:sz="0" w:space="0" w:color="auto"/>
          </w:divBdr>
        </w:div>
        <w:div w:id="1132014260">
          <w:marLeft w:val="0"/>
          <w:marRight w:val="0"/>
          <w:marTop w:val="0"/>
          <w:marBottom w:val="0"/>
          <w:divBdr>
            <w:top w:val="none" w:sz="0" w:space="0" w:color="auto"/>
            <w:left w:val="none" w:sz="0" w:space="0" w:color="auto"/>
            <w:bottom w:val="none" w:sz="0" w:space="0" w:color="auto"/>
            <w:right w:val="none" w:sz="0" w:space="0" w:color="auto"/>
          </w:divBdr>
        </w:div>
        <w:div w:id="1611741189">
          <w:marLeft w:val="0"/>
          <w:marRight w:val="0"/>
          <w:marTop w:val="0"/>
          <w:marBottom w:val="0"/>
          <w:divBdr>
            <w:top w:val="none" w:sz="0" w:space="0" w:color="auto"/>
            <w:left w:val="none" w:sz="0" w:space="0" w:color="auto"/>
            <w:bottom w:val="none" w:sz="0" w:space="0" w:color="auto"/>
            <w:right w:val="none" w:sz="0" w:space="0" w:color="auto"/>
          </w:divBdr>
        </w:div>
        <w:div w:id="734469034">
          <w:marLeft w:val="0"/>
          <w:marRight w:val="0"/>
          <w:marTop w:val="0"/>
          <w:marBottom w:val="0"/>
          <w:divBdr>
            <w:top w:val="none" w:sz="0" w:space="0" w:color="auto"/>
            <w:left w:val="none" w:sz="0" w:space="0" w:color="auto"/>
            <w:bottom w:val="none" w:sz="0" w:space="0" w:color="auto"/>
            <w:right w:val="none" w:sz="0" w:space="0" w:color="auto"/>
          </w:divBdr>
        </w:div>
        <w:div w:id="1420298278">
          <w:marLeft w:val="0"/>
          <w:marRight w:val="0"/>
          <w:marTop w:val="0"/>
          <w:marBottom w:val="0"/>
          <w:divBdr>
            <w:top w:val="none" w:sz="0" w:space="0" w:color="auto"/>
            <w:left w:val="none" w:sz="0" w:space="0" w:color="auto"/>
            <w:bottom w:val="none" w:sz="0" w:space="0" w:color="auto"/>
            <w:right w:val="none" w:sz="0" w:space="0" w:color="auto"/>
          </w:divBdr>
        </w:div>
        <w:div w:id="755633895">
          <w:marLeft w:val="0"/>
          <w:marRight w:val="0"/>
          <w:marTop w:val="0"/>
          <w:marBottom w:val="0"/>
          <w:divBdr>
            <w:top w:val="none" w:sz="0" w:space="0" w:color="auto"/>
            <w:left w:val="none" w:sz="0" w:space="0" w:color="auto"/>
            <w:bottom w:val="none" w:sz="0" w:space="0" w:color="auto"/>
            <w:right w:val="none" w:sz="0" w:space="0" w:color="auto"/>
          </w:divBdr>
        </w:div>
        <w:div w:id="1070613470">
          <w:marLeft w:val="0"/>
          <w:marRight w:val="0"/>
          <w:marTop w:val="0"/>
          <w:marBottom w:val="0"/>
          <w:divBdr>
            <w:top w:val="none" w:sz="0" w:space="0" w:color="auto"/>
            <w:left w:val="none" w:sz="0" w:space="0" w:color="auto"/>
            <w:bottom w:val="none" w:sz="0" w:space="0" w:color="auto"/>
            <w:right w:val="none" w:sz="0" w:space="0" w:color="auto"/>
          </w:divBdr>
        </w:div>
        <w:div w:id="623926918">
          <w:marLeft w:val="0"/>
          <w:marRight w:val="0"/>
          <w:marTop w:val="0"/>
          <w:marBottom w:val="0"/>
          <w:divBdr>
            <w:top w:val="none" w:sz="0" w:space="0" w:color="auto"/>
            <w:left w:val="none" w:sz="0" w:space="0" w:color="auto"/>
            <w:bottom w:val="none" w:sz="0" w:space="0" w:color="auto"/>
            <w:right w:val="none" w:sz="0" w:space="0" w:color="auto"/>
          </w:divBdr>
        </w:div>
        <w:div w:id="1286155547">
          <w:marLeft w:val="0"/>
          <w:marRight w:val="0"/>
          <w:marTop w:val="0"/>
          <w:marBottom w:val="0"/>
          <w:divBdr>
            <w:top w:val="none" w:sz="0" w:space="0" w:color="auto"/>
            <w:left w:val="none" w:sz="0" w:space="0" w:color="auto"/>
            <w:bottom w:val="none" w:sz="0" w:space="0" w:color="auto"/>
            <w:right w:val="none" w:sz="0" w:space="0" w:color="auto"/>
          </w:divBdr>
        </w:div>
        <w:div w:id="1864897097">
          <w:marLeft w:val="0"/>
          <w:marRight w:val="0"/>
          <w:marTop w:val="0"/>
          <w:marBottom w:val="0"/>
          <w:divBdr>
            <w:top w:val="none" w:sz="0" w:space="0" w:color="auto"/>
            <w:left w:val="none" w:sz="0" w:space="0" w:color="auto"/>
            <w:bottom w:val="none" w:sz="0" w:space="0" w:color="auto"/>
            <w:right w:val="none" w:sz="0" w:space="0" w:color="auto"/>
          </w:divBdr>
        </w:div>
        <w:div w:id="215512355">
          <w:marLeft w:val="0"/>
          <w:marRight w:val="0"/>
          <w:marTop w:val="0"/>
          <w:marBottom w:val="0"/>
          <w:divBdr>
            <w:top w:val="none" w:sz="0" w:space="0" w:color="auto"/>
            <w:left w:val="none" w:sz="0" w:space="0" w:color="auto"/>
            <w:bottom w:val="none" w:sz="0" w:space="0" w:color="auto"/>
            <w:right w:val="none" w:sz="0" w:space="0" w:color="auto"/>
          </w:divBdr>
        </w:div>
        <w:div w:id="1563903330">
          <w:marLeft w:val="0"/>
          <w:marRight w:val="0"/>
          <w:marTop w:val="0"/>
          <w:marBottom w:val="0"/>
          <w:divBdr>
            <w:top w:val="none" w:sz="0" w:space="0" w:color="auto"/>
            <w:left w:val="none" w:sz="0" w:space="0" w:color="auto"/>
            <w:bottom w:val="none" w:sz="0" w:space="0" w:color="auto"/>
            <w:right w:val="none" w:sz="0" w:space="0" w:color="auto"/>
          </w:divBdr>
        </w:div>
        <w:div w:id="1263225535">
          <w:marLeft w:val="0"/>
          <w:marRight w:val="0"/>
          <w:marTop w:val="0"/>
          <w:marBottom w:val="0"/>
          <w:divBdr>
            <w:top w:val="none" w:sz="0" w:space="0" w:color="auto"/>
            <w:left w:val="none" w:sz="0" w:space="0" w:color="auto"/>
            <w:bottom w:val="none" w:sz="0" w:space="0" w:color="auto"/>
            <w:right w:val="none" w:sz="0" w:space="0" w:color="auto"/>
          </w:divBdr>
        </w:div>
        <w:div w:id="246421155">
          <w:marLeft w:val="0"/>
          <w:marRight w:val="0"/>
          <w:marTop w:val="0"/>
          <w:marBottom w:val="0"/>
          <w:divBdr>
            <w:top w:val="none" w:sz="0" w:space="0" w:color="auto"/>
            <w:left w:val="none" w:sz="0" w:space="0" w:color="auto"/>
            <w:bottom w:val="none" w:sz="0" w:space="0" w:color="auto"/>
            <w:right w:val="none" w:sz="0" w:space="0" w:color="auto"/>
          </w:divBdr>
        </w:div>
        <w:div w:id="1922565177">
          <w:marLeft w:val="0"/>
          <w:marRight w:val="0"/>
          <w:marTop w:val="0"/>
          <w:marBottom w:val="0"/>
          <w:divBdr>
            <w:top w:val="none" w:sz="0" w:space="0" w:color="auto"/>
            <w:left w:val="none" w:sz="0" w:space="0" w:color="auto"/>
            <w:bottom w:val="none" w:sz="0" w:space="0" w:color="auto"/>
            <w:right w:val="none" w:sz="0" w:space="0" w:color="auto"/>
          </w:divBdr>
        </w:div>
        <w:div w:id="163712119">
          <w:marLeft w:val="0"/>
          <w:marRight w:val="0"/>
          <w:marTop w:val="0"/>
          <w:marBottom w:val="0"/>
          <w:divBdr>
            <w:top w:val="none" w:sz="0" w:space="0" w:color="auto"/>
            <w:left w:val="none" w:sz="0" w:space="0" w:color="auto"/>
            <w:bottom w:val="none" w:sz="0" w:space="0" w:color="auto"/>
            <w:right w:val="none" w:sz="0" w:space="0" w:color="auto"/>
          </w:divBdr>
        </w:div>
        <w:div w:id="715204962">
          <w:marLeft w:val="0"/>
          <w:marRight w:val="0"/>
          <w:marTop w:val="0"/>
          <w:marBottom w:val="0"/>
          <w:divBdr>
            <w:top w:val="none" w:sz="0" w:space="0" w:color="auto"/>
            <w:left w:val="none" w:sz="0" w:space="0" w:color="auto"/>
            <w:bottom w:val="none" w:sz="0" w:space="0" w:color="auto"/>
            <w:right w:val="none" w:sz="0" w:space="0" w:color="auto"/>
          </w:divBdr>
        </w:div>
        <w:div w:id="696466486">
          <w:marLeft w:val="0"/>
          <w:marRight w:val="0"/>
          <w:marTop w:val="0"/>
          <w:marBottom w:val="0"/>
          <w:divBdr>
            <w:top w:val="none" w:sz="0" w:space="0" w:color="auto"/>
            <w:left w:val="none" w:sz="0" w:space="0" w:color="auto"/>
            <w:bottom w:val="none" w:sz="0" w:space="0" w:color="auto"/>
            <w:right w:val="none" w:sz="0" w:space="0" w:color="auto"/>
          </w:divBdr>
        </w:div>
        <w:div w:id="94861958">
          <w:marLeft w:val="0"/>
          <w:marRight w:val="0"/>
          <w:marTop w:val="0"/>
          <w:marBottom w:val="0"/>
          <w:divBdr>
            <w:top w:val="none" w:sz="0" w:space="0" w:color="auto"/>
            <w:left w:val="none" w:sz="0" w:space="0" w:color="auto"/>
            <w:bottom w:val="none" w:sz="0" w:space="0" w:color="auto"/>
            <w:right w:val="none" w:sz="0" w:space="0" w:color="auto"/>
          </w:divBdr>
        </w:div>
        <w:div w:id="307125554">
          <w:marLeft w:val="0"/>
          <w:marRight w:val="0"/>
          <w:marTop w:val="0"/>
          <w:marBottom w:val="0"/>
          <w:divBdr>
            <w:top w:val="none" w:sz="0" w:space="0" w:color="auto"/>
            <w:left w:val="none" w:sz="0" w:space="0" w:color="auto"/>
            <w:bottom w:val="none" w:sz="0" w:space="0" w:color="auto"/>
            <w:right w:val="none" w:sz="0" w:space="0" w:color="auto"/>
          </w:divBdr>
        </w:div>
        <w:div w:id="1560048681">
          <w:marLeft w:val="0"/>
          <w:marRight w:val="0"/>
          <w:marTop w:val="0"/>
          <w:marBottom w:val="0"/>
          <w:divBdr>
            <w:top w:val="none" w:sz="0" w:space="0" w:color="auto"/>
            <w:left w:val="none" w:sz="0" w:space="0" w:color="auto"/>
            <w:bottom w:val="none" w:sz="0" w:space="0" w:color="auto"/>
            <w:right w:val="none" w:sz="0" w:space="0" w:color="auto"/>
          </w:divBdr>
        </w:div>
        <w:div w:id="1661079863">
          <w:marLeft w:val="0"/>
          <w:marRight w:val="0"/>
          <w:marTop w:val="0"/>
          <w:marBottom w:val="0"/>
          <w:divBdr>
            <w:top w:val="none" w:sz="0" w:space="0" w:color="auto"/>
            <w:left w:val="none" w:sz="0" w:space="0" w:color="auto"/>
            <w:bottom w:val="none" w:sz="0" w:space="0" w:color="auto"/>
            <w:right w:val="none" w:sz="0" w:space="0" w:color="auto"/>
          </w:divBdr>
        </w:div>
        <w:div w:id="1899513304">
          <w:marLeft w:val="0"/>
          <w:marRight w:val="0"/>
          <w:marTop w:val="0"/>
          <w:marBottom w:val="0"/>
          <w:divBdr>
            <w:top w:val="none" w:sz="0" w:space="0" w:color="auto"/>
            <w:left w:val="none" w:sz="0" w:space="0" w:color="auto"/>
            <w:bottom w:val="none" w:sz="0" w:space="0" w:color="auto"/>
            <w:right w:val="none" w:sz="0" w:space="0" w:color="auto"/>
          </w:divBdr>
        </w:div>
        <w:div w:id="19627920">
          <w:marLeft w:val="0"/>
          <w:marRight w:val="0"/>
          <w:marTop w:val="0"/>
          <w:marBottom w:val="0"/>
          <w:divBdr>
            <w:top w:val="none" w:sz="0" w:space="0" w:color="auto"/>
            <w:left w:val="none" w:sz="0" w:space="0" w:color="auto"/>
            <w:bottom w:val="none" w:sz="0" w:space="0" w:color="auto"/>
            <w:right w:val="none" w:sz="0" w:space="0" w:color="auto"/>
          </w:divBdr>
        </w:div>
        <w:div w:id="1967853691">
          <w:marLeft w:val="0"/>
          <w:marRight w:val="0"/>
          <w:marTop w:val="0"/>
          <w:marBottom w:val="0"/>
          <w:divBdr>
            <w:top w:val="none" w:sz="0" w:space="0" w:color="auto"/>
            <w:left w:val="none" w:sz="0" w:space="0" w:color="auto"/>
            <w:bottom w:val="none" w:sz="0" w:space="0" w:color="auto"/>
            <w:right w:val="none" w:sz="0" w:space="0" w:color="auto"/>
          </w:divBdr>
        </w:div>
        <w:div w:id="1071346127">
          <w:marLeft w:val="0"/>
          <w:marRight w:val="0"/>
          <w:marTop w:val="0"/>
          <w:marBottom w:val="0"/>
          <w:divBdr>
            <w:top w:val="none" w:sz="0" w:space="0" w:color="auto"/>
            <w:left w:val="none" w:sz="0" w:space="0" w:color="auto"/>
            <w:bottom w:val="none" w:sz="0" w:space="0" w:color="auto"/>
            <w:right w:val="none" w:sz="0" w:space="0" w:color="auto"/>
          </w:divBdr>
        </w:div>
        <w:div w:id="1108696976">
          <w:marLeft w:val="0"/>
          <w:marRight w:val="0"/>
          <w:marTop w:val="0"/>
          <w:marBottom w:val="0"/>
          <w:divBdr>
            <w:top w:val="none" w:sz="0" w:space="0" w:color="auto"/>
            <w:left w:val="none" w:sz="0" w:space="0" w:color="auto"/>
            <w:bottom w:val="none" w:sz="0" w:space="0" w:color="auto"/>
            <w:right w:val="none" w:sz="0" w:space="0" w:color="auto"/>
          </w:divBdr>
        </w:div>
        <w:div w:id="1308709318">
          <w:marLeft w:val="0"/>
          <w:marRight w:val="0"/>
          <w:marTop w:val="0"/>
          <w:marBottom w:val="0"/>
          <w:divBdr>
            <w:top w:val="none" w:sz="0" w:space="0" w:color="auto"/>
            <w:left w:val="none" w:sz="0" w:space="0" w:color="auto"/>
            <w:bottom w:val="none" w:sz="0" w:space="0" w:color="auto"/>
            <w:right w:val="none" w:sz="0" w:space="0" w:color="auto"/>
          </w:divBdr>
        </w:div>
        <w:div w:id="1174107804">
          <w:marLeft w:val="0"/>
          <w:marRight w:val="0"/>
          <w:marTop w:val="0"/>
          <w:marBottom w:val="0"/>
          <w:divBdr>
            <w:top w:val="none" w:sz="0" w:space="0" w:color="auto"/>
            <w:left w:val="none" w:sz="0" w:space="0" w:color="auto"/>
            <w:bottom w:val="none" w:sz="0" w:space="0" w:color="auto"/>
            <w:right w:val="none" w:sz="0" w:space="0" w:color="auto"/>
          </w:divBdr>
        </w:div>
        <w:div w:id="1865627741">
          <w:marLeft w:val="0"/>
          <w:marRight w:val="0"/>
          <w:marTop w:val="0"/>
          <w:marBottom w:val="0"/>
          <w:divBdr>
            <w:top w:val="none" w:sz="0" w:space="0" w:color="auto"/>
            <w:left w:val="none" w:sz="0" w:space="0" w:color="auto"/>
            <w:bottom w:val="none" w:sz="0" w:space="0" w:color="auto"/>
            <w:right w:val="none" w:sz="0" w:space="0" w:color="auto"/>
          </w:divBdr>
        </w:div>
        <w:div w:id="1346859312">
          <w:marLeft w:val="0"/>
          <w:marRight w:val="0"/>
          <w:marTop w:val="0"/>
          <w:marBottom w:val="0"/>
          <w:divBdr>
            <w:top w:val="none" w:sz="0" w:space="0" w:color="auto"/>
            <w:left w:val="none" w:sz="0" w:space="0" w:color="auto"/>
            <w:bottom w:val="none" w:sz="0" w:space="0" w:color="auto"/>
            <w:right w:val="none" w:sz="0" w:space="0" w:color="auto"/>
          </w:divBdr>
        </w:div>
        <w:div w:id="1997760204">
          <w:marLeft w:val="0"/>
          <w:marRight w:val="0"/>
          <w:marTop w:val="0"/>
          <w:marBottom w:val="0"/>
          <w:divBdr>
            <w:top w:val="none" w:sz="0" w:space="0" w:color="auto"/>
            <w:left w:val="none" w:sz="0" w:space="0" w:color="auto"/>
            <w:bottom w:val="none" w:sz="0" w:space="0" w:color="auto"/>
            <w:right w:val="none" w:sz="0" w:space="0" w:color="auto"/>
          </w:divBdr>
        </w:div>
        <w:div w:id="1418599428">
          <w:marLeft w:val="0"/>
          <w:marRight w:val="0"/>
          <w:marTop w:val="0"/>
          <w:marBottom w:val="0"/>
          <w:divBdr>
            <w:top w:val="none" w:sz="0" w:space="0" w:color="auto"/>
            <w:left w:val="none" w:sz="0" w:space="0" w:color="auto"/>
            <w:bottom w:val="none" w:sz="0" w:space="0" w:color="auto"/>
            <w:right w:val="none" w:sz="0" w:space="0" w:color="auto"/>
          </w:divBdr>
        </w:div>
        <w:div w:id="1468279485">
          <w:marLeft w:val="0"/>
          <w:marRight w:val="0"/>
          <w:marTop w:val="0"/>
          <w:marBottom w:val="0"/>
          <w:divBdr>
            <w:top w:val="none" w:sz="0" w:space="0" w:color="auto"/>
            <w:left w:val="none" w:sz="0" w:space="0" w:color="auto"/>
            <w:bottom w:val="none" w:sz="0" w:space="0" w:color="auto"/>
            <w:right w:val="none" w:sz="0" w:space="0" w:color="auto"/>
          </w:divBdr>
        </w:div>
        <w:div w:id="874734038">
          <w:marLeft w:val="0"/>
          <w:marRight w:val="0"/>
          <w:marTop w:val="0"/>
          <w:marBottom w:val="0"/>
          <w:divBdr>
            <w:top w:val="none" w:sz="0" w:space="0" w:color="auto"/>
            <w:left w:val="none" w:sz="0" w:space="0" w:color="auto"/>
            <w:bottom w:val="none" w:sz="0" w:space="0" w:color="auto"/>
            <w:right w:val="none" w:sz="0" w:space="0" w:color="auto"/>
          </w:divBdr>
        </w:div>
        <w:div w:id="1895391609">
          <w:marLeft w:val="0"/>
          <w:marRight w:val="0"/>
          <w:marTop w:val="0"/>
          <w:marBottom w:val="0"/>
          <w:divBdr>
            <w:top w:val="none" w:sz="0" w:space="0" w:color="auto"/>
            <w:left w:val="none" w:sz="0" w:space="0" w:color="auto"/>
            <w:bottom w:val="none" w:sz="0" w:space="0" w:color="auto"/>
            <w:right w:val="none" w:sz="0" w:space="0" w:color="auto"/>
          </w:divBdr>
        </w:div>
        <w:div w:id="276372822">
          <w:marLeft w:val="0"/>
          <w:marRight w:val="0"/>
          <w:marTop w:val="0"/>
          <w:marBottom w:val="0"/>
          <w:divBdr>
            <w:top w:val="none" w:sz="0" w:space="0" w:color="auto"/>
            <w:left w:val="none" w:sz="0" w:space="0" w:color="auto"/>
            <w:bottom w:val="none" w:sz="0" w:space="0" w:color="auto"/>
            <w:right w:val="none" w:sz="0" w:space="0" w:color="auto"/>
          </w:divBdr>
        </w:div>
        <w:div w:id="2063358973">
          <w:marLeft w:val="0"/>
          <w:marRight w:val="0"/>
          <w:marTop w:val="0"/>
          <w:marBottom w:val="0"/>
          <w:divBdr>
            <w:top w:val="none" w:sz="0" w:space="0" w:color="auto"/>
            <w:left w:val="none" w:sz="0" w:space="0" w:color="auto"/>
            <w:bottom w:val="none" w:sz="0" w:space="0" w:color="auto"/>
            <w:right w:val="none" w:sz="0" w:space="0" w:color="auto"/>
          </w:divBdr>
        </w:div>
        <w:div w:id="348991056">
          <w:marLeft w:val="0"/>
          <w:marRight w:val="0"/>
          <w:marTop w:val="0"/>
          <w:marBottom w:val="0"/>
          <w:divBdr>
            <w:top w:val="none" w:sz="0" w:space="0" w:color="auto"/>
            <w:left w:val="none" w:sz="0" w:space="0" w:color="auto"/>
            <w:bottom w:val="none" w:sz="0" w:space="0" w:color="auto"/>
            <w:right w:val="none" w:sz="0" w:space="0" w:color="auto"/>
          </w:divBdr>
        </w:div>
        <w:div w:id="1309555554">
          <w:marLeft w:val="0"/>
          <w:marRight w:val="0"/>
          <w:marTop w:val="0"/>
          <w:marBottom w:val="0"/>
          <w:divBdr>
            <w:top w:val="none" w:sz="0" w:space="0" w:color="auto"/>
            <w:left w:val="none" w:sz="0" w:space="0" w:color="auto"/>
            <w:bottom w:val="none" w:sz="0" w:space="0" w:color="auto"/>
            <w:right w:val="none" w:sz="0" w:space="0" w:color="auto"/>
          </w:divBdr>
        </w:div>
        <w:div w:id="669406992">
          <w:marLeft w:val="0"/>
          <w:marRight w:val="0"/>
          <w:marTop w:val="0"/>
          <w:marBottom w:val="0"/>
          <w:divBdr>
            <w:top w:val="none" w:sz="0" w:space="0" w:color="auto"/>
            <w:left w:val="none" w:sz="0" w:space="0" w:color="auto"/>
            <w:bottom w:val="none" w:sz="0" w:space="0" w:color="auto"/>
            <w:right w:val="none" w:sz="0" w:space="0" w:color="auto"/>
          </w:divBdr>
        </w:div>
        <w:div w:id="542253231">
          <w:marLeft w:val="0"/>
          <w:marRight w:val="0"/>
          <w:marTop w:val="0"/>
          <w:marBottom w:val="0"/>
          <w:divBdr>
            <w:top w:val="none" w:sz="0" w:space="0" w:color="auto"/>
            <w:left w:val="none" w:sz="0" w:space="0" w:color="auto"/>
            <w:bottom w:val="none" w:sz="0" w:space="0" w:color="auto"/>
            <w:right w:val="none" w:sz="0" w:space="0" w:color="auto"/>
          </w:divBdr>
        </w:div>
        <w:div w:id="1795368874">
          <w:marLeft w:val="0"/>
          <w:marRight w:val="0"/>
          <w:marTop w:val="0"/>
          <w:marBottom w:val="0"/>
          <w:divBdr>
            <w:top w:val="none" w:sz="0" w:space="0" w:color="auto"/>
            <w:left w:val="none" w:sz="0" w:space="0" w:color="auto"/>
            <w:bottom w:val="none" w:sz="0" w:space="0" w:color="auto"/>
            <w:right w:val="none" w:sz="0" w:space="0" w:color="auto"/>
          </w:divBdr>
        </w:div>
        <w:div w:id="1169826569">
          <w:marLeft w:val="0"/>
          <w:marRight w:val="0"/>
          <w:marTop w:val="0"/>
          <w:marBottom w:val="0"/>
          <w:divBdr>
            <w:top w:val="none" w:sz="0" w:space="0" w:color="auto"/>
            <w:left w:val="none" w:sz="0" w:space="0" w:color="auto"/>
            <w:bottom w:val="none" w:sz="0" w:space="0" w:color="auto"/>
            <w:right w:val="none" w:sz="0" w:space="0" w:color="auto"/>
          </w:divBdr>
        </w:div>
        <w:div w:id="518592760">
          <w:marLeft w:val="0"/>
          <w:marRight w:val="0"/>
          <w:marTop w:val="0"/>
          <w:marBottom w:val="0"/>
          <w:divBdr>
            <w:top w:val="none" w:sz="0" w:space="0" w:color="auto"/>
            <w:left w:val="none" w:sz="0" w:space="0" w:color="auto"/>
            <w:bottom w:val="none" w:sz="0" w:space="0" w:color="auto"/>
            <w:right w:val="none" w:sz="0" w:space="0" w:color="auto"/>
          </w:divBdr>
        </w:div>
        <w:div w:id="1979257810">
          <w:marLeft w:val="0"/>
          <w:marRight w:val="0"/>
          <w:marTop w:val="0"/>
          <w:marBottom w:val="0"/>
          <w:divBdr>
            <w:top w:val="none" w:sz="0" w:space="0" w:color="auto"/>
            <w:left w:val="none" w:sz="0" w:space="0" w:color="auto"/>
            <w:bottom w:val="none" w:sz="0" w:space="0" w:color="auto"/>
            <w:right w:val="none" w:sz="0" w:space="0" w:color="auto"/>
          </w:divBdr>
        </w:div>
        <w:div w:id="1583685710">
          <w:marLeft w:val="0"/>
          <w:marRight w:val="0"/>
          <w:marTop w:val="0"/>
          <w:marBottom w:val="0"/>
          <w:divBdr>
            <w:top w:val="none" w:sz="0" w:space="0" w:color="auto"/>
            <w:left w:val="none" w:sz="0" w:space="0" w:color="auto"/>
            <w:bottom w:val="none" w:sz="0" w:space="0" w:color="auto"/>
            <w:right w:val="none" w:sz="0" w:space="0" w:color="auto"/>
          </w:divBdr>
        </w:div>
        <w:div w:id="1581940256">
          <w:marLeft w:val="0"/>
          <w:marRight w:val="0"/>
          <w:marTop w:val="0"/>
          <w:marBottom w:val="0"/>
          <w:divBdr>
            <w:top w:val="none" w:sz="0" w:space="0" w:color="auto"/>
            <w:left w:val="none" w:sz="0" w:space="0" w:color="auto"/>
            <w:bottom w:val="none" w:sz="0" w:space="0" w:color="auto"/>
            <w:right w:val="none" w:sz="0" w:space="0" w:color="auto"/>
          </w:divBdr>
        </w:div>
        <w:div w:id="1333070588">
          <w:marLeft w:val="0"/>
          <w:marRight w:val="0"/>
          <w:marTop w:val="0"/>
          <w:marBottom w:val="0"/>
          <w:divBdr>
            <w:top w:val="none" w:sz="0" w:space="0" w:color="auto"/>
            <w:left w:val="none" w:sz="0" w:space="0" w:color="auto"/>
            <w:bottom w:val="none" w:sz="0" w:space="0" w:color="auto"/>
            <w:right w:val="none" w:sz="0" w:space="0" w:color="auto"/>
          </w:divBdr>
        </w:div>
        <w:div w:id="1830556546">
          <w:marLeft w:val="0"/>
          <w:marRight w:val="0"/>
          <w:marTop w:val="0"/>
          <w:marBottom w:val="0"/>
          <w:divBdr>
            <w:top w:val="none" w:sz="0" w:space="0" w:color="auto"/>
            <w:left w:val="none" w:sz="0" w:space="0" w:color="auto"/>
            <w:bottom w:val="none" w:sz="0" w:space="0" w:color="auto"/>
            <w:right w:val="none" w:sz="0" w:space="0" w:color="auto"/>
          </w:divBdr>
        </w:div>
        <w:div w:id="1581212578">
          <w:marLeft w:val="0"/>
          <w:marRight w:val="0"/>
          <w:marTop w:val="0"/>
          <w:marBottom w:val="0"/>
          <w:divBdr>
            <w:top w:val="none" w:sz="0" w:space="0" w:color="auto"/>
            <w:left w:val="none" w:sz="0" w:space="0" w:color="auto"/>
            <w:bottom w:val="none" w:sz="0" w:space="0" w:color="auto"/>
            <w:right w:val="none" w:sz="0" w:space="0" w:color="auto"/>
          </w:divBdr>
        </w:div>
        <w:div w:id="1448893342">
          <w:marLeft w:val="0"/>
          <w:marRight w:val="0"/>
          <w:marTop w:val="0"/>
          <w:marBottom w:val="0"/>
          <w:divBdr>
            <w:top w:val="none" w:sz="0" w:space="0" w:color="auto"/>
            <w:left w:val="none" w:sz="0" w:space="0" w:color="auto"/>
            <w:bottom w:val="none" w:sz="0" w:space="0" w:color="auto"/>
            <w:right w:val="none" w:sz="0" w:space="0" w:color="auto"/>
          </w:divBdr>
        </w:div>
        <w:div w:id="1894926516">
          <w:marLeft w:val="0"/>
          <w:marRight w:val="0"/>
          <w:marTop w:val="0"/>
          <w:marBottom w:val="0"/>
          <w:divBdr>
            <w:top w:val="none" w:sz="0" w:space="0" w:color="auto"/>
            <w:left w:val="none" w:sz="0" w:space="0" w:color="auto"/>
            <w:bottom w:val="none" w:sz="0" w:space="0" w:color="auto"/>
            <w:right w:val="none" w:sz="0" w:space="0" w:color="auto"/>
          </w:divBdr>
        </w:div>
        <w:div w:id="1138718863">
          <w:marLeft w:val="0"/>
          <w:marRight w:val="0"/>
          <w:marTop w:val="0"/>
          <w:marBottom w:val="0"/>
          <w:divBdr>
            <w:top w:val="none" w:sz="0" w:space="0" w:color="auto"/>
            <w:left w:val="none" w:sz="0" w:space="0" w:color="auto"/>
            <w:bottom w:val="none" w:sz="0" w:space="0" w:color="auto"/>
            <w:right w:val="none" w:sz="0" w:space="0" w:color="auto"/>
          </w:divBdr>
        </w:div>
        <w:div w:id="574702086">
          <w:marLeft w:val="0"/>
          <w:marRight w:val="0"/>
          <w:marTop w:val="0"/>
          <w:marBottom w:val="0"/>
          <w:divBdr>
            <w:top w:val="none" w:sz="0" w:space="0" w:color="auto"/>
            <w:left w:val="none" w:sz="0" w:space="0" w:color="auto"/>
            <w:bottom w:val="none" w:sz="0" w:space="0" w:color="auto"/>
            <w:right w:val="none" w:sz="0" w:space="0" w:color="auto"/>
          </w:divBdr>
        </w:div>
        <w:div w:id="2128632">
          <w:marLeft w:val="0"/>
          <w:marRight w:val="0"/>
          <w:marTop w:val="0"/>
          <w:marBottom w:val="0"/>
          <w:divBdr>
            <w:top w:val="none" w:sz="0" w:space="0" w:color="auto"/>
            <w:left w:val="none" w:sz="0" w:space="0" w:color="auto"/>
            <w:bottom w:val="none" w:sz="0" w:space="0" w:color="auto"/>
            <w:right w:val="none" w:sz="0" w:space="0" w:color="auto"/>
          </w:divBdr>
        </w:div>
        <w:div w:id="647441246">
          <w:marLeft w:val="0"/>
          <w:marRight w:val="0"/>
          <w:marTop w:val="0"/>
          <w:marBottom w:val="0"/>
          <w:divBdr>
            <w:top w:val="none" w:sz="0" w:space="0" w:color="auto"/>
            <w:left w:val="none" w:sz="0" w:space="0" w:color="auto"/>
            <w:bottom w:val="none" w:sz="0" w:space="0" w:color="auto"/>
            <w:right w:val="none" w:sz="0" w:space="0" w:color="auto"/>
          </w:divBdr>
        </w:div>
        <w:div w:id="1154420164">
          <w:marLeft w:val="0"/>
          <w:marRight w:val="0"/>
          <w:marTop w:val="0"/>
          <w:marBottom w:val="0"/>
          <w:divBdr>
            <w:top w:val="none" w:sz="0" w:space="0" w:color="auto"/>
            <w:left w:val="none" w:sz="0" w:space="0" w:color="auto"/>
            <w:bottom w:val="none" w:sz="0" w:space="0" w:color="auto"/>
            <w:right w:val="none" w:sz="0" w:space="0" w:color="auto"/>
          </w:divBdr>
        </w:div>
        <w:div w:id="797146796">
          <w:marLeft w:val="0"/>
          <w:marRight w:val="0"/>
          <w:marTop w:val="0"/>
          <w:marBottom w:val="0"/>
          <w:divBdr>
            <w:top w:val="none" w:sz="0" w:space="0" w:color="auto"/>
            <w:left w:val="none" w:sz="0" w:space="0" w:color="auto"/>
            <w:bottom w:val="none" w:sz="0" w:space="0" w:color="auto"/>
            <w:right w:val="none" w:sz="0" w:space="0" w:color="auto"/>
          </w:divBdr>
        </w:div>
        <w:div w:id="1065688637">
          <w:marLeft w:val="0"/>
          <w:marRight w:val="0"/>
          <w:marTop w:val="0"/>
          <w:marBottom w:val="0"/>
          <w:divBdr>
            <w:top w:val="none" w:sz="0" w:space="0" w:color="auto"/>
            <w:left w:val="none" w:sz="0" w:space="0" w:color="auto"/>
            <w:bottom w:val="none" w:sz="0" w:space="0" w:color="auto"/>
            <w:right w:val="none" w:sz="0" w:space="0" w:color="auto"/>
          </w:divBdr>
        </w:div>
        <w:div w:id="709769123">
          <w:marLeft w:val="0"/>
          <w:marRight w:val="0"/>
          <w:marTop w:val="0"/>
          <w:marBottom w:val="0"/>
          <w:divBdr>
            <w:top w:val="none" w:sz="0" w:space="0" w:color="auto"/>
            <w:left w:val="none" w:sz="0" w:space="0" w:color="auto"/>
            <w:bottom w:val="none" w:sz="0" w:space="0" w:color="auto"/>
            <w:right w:val="none" w:sz="0" w:space="0" w:color="auto"/>
          </w:divBdr>
        </w:div>
        <w:div w:id="144318688">
          <w:marLeft w:val="0"/>
          <w:marRight w:val="0"/>
          <w:marTop w:val="0"/>
          <w:marBottom w:val="0"/>
          <w:divBdr>
            <w:top w:val="none" w:sz="0" w:space="0" w:color="auto"/>
            <w:left w:val="none" w:sz="0" w:space="0" w:color="auto"/>
            <w:bottom w:val="none" w:sz="0" w:space="0" w:color="auto"/>
            <w:right w:val="none" w:sz="0" w:space="0" w:color="auto"/>
          </w:divBdr>
        </w:div>
        <w:div w:id="853494706">
          <w:marLeft w:val="0"/>
          <w:marRight w:val="0"/>
          <w:marTop w:val="0"/>
          <w:marBottom w:val="0"/>
          <w:divBdr>
            <w:top w:val="none" w:sz="0" w:space="0" w:color="auto"/>
            <w:left w:val="none" w:sz="0" w:space="0" w:color="auto"/>
            <w:bottom w:val="none" w:sz="0" w:space="0" w:color="auto"/>
            <w:right w:val="none" w:sz="0" w:space="0" w:color="auto"/>
          </w:divBdr>
        </w:div>
        <w:div w:id="406077413">
          <w:marLeft w:val="0"/>
          <w:marRight w:val="0"/>
          <w:marTop w:val="0"/>
          <w:marBottom w:val="0"/>
          <w:divBdr>
            <w:top w:val="none" w:sz="0" w:space="0" w:color="auto"/>
            <w:left w:val="none" w:sz="0" w:space="0" w:color="auto"/>
            <w:bottom w:val="none" w:sz="0" w:space="0" w:color="auto"/>
            <w:right w:val="none" w:sz="0" w:space="0" w:color="auto"/>
          </w:divBdr>
        </w:div>
        <w:div w:id="1444768076">
          <w:marLeft w:val="0"/>
          <w:marRight w:val="0"/>
          <w:marTop w:val="0"/>
          <w:marBottom w:val="0"/>
          <w:divBdr>
            <w:top w:val="none" w:sz="0" w:space="0" w:color="auto"/>
            <w:left w:val="none" w:sz="0" w:space="0" w:color="auto"/>
            <w:bottom w:val="none" w:sz="0" w:space="0" w:color="auto"/>
            <w:right w:val="none" w:sz="0" w:space="0" w:color="auto"/>
          </w:divBdr>
        </w:div>
        <w:div w:id="730612436">
          <w:marLeft w:val="0"/>
          <w:marRight w:val="0"/>
          <w:marTop w:val="0"/>
          <w:marBottom w:val="0"/>
          <w:divBdr>
            <w:top w:val="none" w:sz="0" w:space="0" w:color="auto"/>
            <w:left w:val="none" w:sz="0" w:space="0" w:color="auto"/>
            <w:bottom w:val="none" w:sz="0" w:space="0" w:color="auto"/>
            <w:right w:val="none" w:sz="0" w:space="0" w:color="auto"/>
          </w:divBdr>
        </w:div>
        <w:div w:id="1560700755">
          <w:marLeft w:val="0"/>
          <w:marRight w:val="0"/>
          <w:marTop w:val="0"/>
          <w:marBottom w:val="0"/>
          <w:divBdr>
            <w:top w:val="none" w:sz="0" w:space="0" w:color="auto"/>
            <w:left w:val="none" w:sz="0" w:space="0" w:color="auto"/>
            <w:bottom w:val="none" w:sz="0" w:space="0" w:color="auto"/>
            <w:right w:val="none" w:sz="0" w:space="0" w:color="auto"/>
          </w:divBdr>
        </w:div>
        <w:div w:id="61145318">
          <w:marLeft w:val="0"/>
          <w:marRight w:val="0"/>
          <w:marTop w:val="0"/>
          <w:marBottom w:val="0"/>
          <w:divBdr>
            <w:top w:val="none" w:sz="0" w:space="0" w:color="auto"/>
            <w:left w:val="none" w:sz="0" w:space="0" w:color="auto"/>
            <w:bottom w:val="none" w:sz="0" w:space="0" w:color="auto"/>
            <w:right w:val="none" w:sz="0" w:space="0" w:color="auto"/>
          </w:divBdr>
        </w:div>
        <w:div w:id="246115953">
          <w:marLeft w:val="0"/>
          <w:marRight w:val="0"/>
          <w:marTop w:val="0"/>
          <w:marBottom w:val="0"/>
          <w:divBdr>
            <w:top w:val="none" w:sz="0" w:space="0" w:color="auto"/>
            <w:left w:val="none" w:sz="0" w:space="0" w:color="auto"/>
            <w:bottom w:val="none" w:sz="0" w:space="0" w:color="auto"/>
            <w:right w:val="none" w:sz="0" w:space="0" w:color="auto"/>
          </w:divBdr>
        </w:div>
        <w:div w:id="146019561">
          <w:marLeft w:val="0"/>
          <w:marRight w:val="0"/>
          <w:marTop w:val="0"/>
          <w:marBottom w:val="0"/>
          <w:divBdr>
            <w:top w:val="none" w:sz="0" w:space="0" w:color="auto"/>
            <w:left w:val="none" w:sz="0" w:space="0" w:color="auto"/>
            <w:bottom w:val="none" w:sz="0" w:space="0" w:color="auto"/>
            <w:right w:val="none" w:sz="0" w:space="0" w:color="auto"/>
          </w:divBdr>
        </w:div>
        <w:div w:id="1273634798">
          <w:marLeft w:val="0"/>
          <w:marRight w:val="0"/>
          <w:marTop w:val="0"/>
          <w:marBottom w:val="0"/>
          <w:divBdr>
            <w:top w:val="none" w:sz="0" w:space="0" w:color="auto"/>
            <w:left w:val="none" w:sz="0" w:space="0" w:color="auto"/>
            <w:bottom w:val="none" w:sz="0" w:space="0" w:color="auto"/>
            <w:right w:val="none" w:sz="0" w:space="0" w:color="auto"/>
          </w:divBdr>
        </w:div>
        <w:div w:id="138810546">
          <w:marLeft w:val="0"/>
          <w:marRight w:val="0"/>
          <w:marTop w:val="0"/>
          <w:marBottom w:val="0"/>
          <w:divBdr>
            <w:top w:val="none" w:sz="0" w:space="0" w:color="auto"/>
            <w:left w:val="none" w:sz="0" w:space="0" w:color="auto"/>
            <w:bottom w:val="none" w:sz="0" w:space="0" w:color="auto"/>
            <w:right w:val="none" w:sz="0" w:space="0" w:color="auto"/>
          </w:divBdr>
        </w:div>
        <w:div w:id="109057810">
          <w:marLeft w:val="0"/>
          <w:marRight w:val="0"/>
          <w:marTop w:val="0"/>
          <w:marBottom w:val="0"/>
          <w:divBdr>
            <w:top w:val="none" w:sz="0" w:space="0" w:color="auto"/>
            <w:left w:val="none" w:sz="0" w:space="0" w:color="auto"/>
            <w:bottom w:val="none" w:sz="0" w:space="0" w:color="auto"/>
            <w:right w:val="none" w:sz="0" w:space="0" w:color="auto"/>
          </w:divBdr>
        </w:div>
        <w:div w:id="696085511">
          <w:marLeft w:val="0"/>
          <w:marRight w:val="0"/>
          <w:marTop w:val="0"/>
          <w:marBottom w:val="0"/>
          <w:divBdr>
            <w:top w:val="none" w:sz="0" w:space="0" w:color="auto"/>
            <w:left w:val="none" w:sz="0" w:space="0" w:color="auto"/>
            <w:bottom w:val="none" w:sz="0" w:space="0" w:color="auto"/>
            <w:right w:val="none" w:sz="0" w:space="0" w:color="auto"/>
          </w:divBdr>
        </w:div>
        <w:div w:id="53624634">
          <w:marLeft w:val="0"/>
          <w:marRight w:val="0"/>
          <w:marTop w:val="0"/>
          <w:marBottom w:val="0"/>
          <w:divBdr>
            <w:top w:val="none" w:sz="0" w:space="0" w:color="auto"/>
            <w:left w:val="none" w:sz="0" w:space="0" w:color="auto"/>
            <w:bottom w:val="none" w:sz="0" w:space="0" w:color="auto"/>
            <w:right w:val="none" w:sz="0" w:space="0" w:color="auto"/>
          </w:divBdr>
        </w:div>
        <w:div w:id="636689834">
          <w:marLeft w:val="0"/>
          <w:marRight w:val="0"/>
          <w:marTop w:val="0"/>
          <w:marBottom w:val="0"/>
          <w:divBdr>
            <w:top w:val="none" w:sz="0" w:space="0" w:color="auto"/>
            <w:left w:val="none" w:sz="0" w:space="0" w:color="auto"/>
            <w:bottom w:val="none" w:sz="0" w:space="0" w:color="auto"/>
            <w:right w:val="none" w:sz="0" w:space="0" w:color="auto"/>
          </w:divBdr>
        </w:div>
        <w:div w:id="625548870">
          <w:marLeft w:val="0"/>
          <w:marRight w:val="0"/>
          <w:marTop w:val="0"/>
          <w:marBottom w:val="0"/>
          <w:divBdr>
            <w:top w:val="none" w:sz="0" w:space="0" w:color="auto"/>
            <w:left w:val="none" w:sz="0" w:space="0" w:color="auto"/>
            <w:bottom w:val="none" w:sz="0" w:space="0" w:color="auto"/>
            <w:right w:val="none" w:sz="0" w:space="0" w:color="auto"/>
          </w:divBdr>
        </w:div>
        <w:div w:id="1207158">
          <w:marLeft w:val="0"/>
          <w:marRight w:val="0"/>
          <w:marTop w:val="0"/>
          <w:marBottom w:val="0"/>
          <w:divBdr>
            <w:top w:val="none" w:sz="0" w:space="0" w:color="auto"/>
            <w:left w:val="none" w:sz="0" w:space="0" w:color="auto"/>
            <w:bottom w:val="none" w:sz="0" w:space="0" w:color="auto"/>
            <w:right w:val="none" w:sz="0" w:space="0" w:color="auto"/>
          </w:divBdr>
        </w:div>
        <w:div w:id="711462660">
          <w:marLeft w:val="0"/>
          <w:marRight w:val="0"/>
          <w:marTop w:val="0"/>
          <w:marBottom w:val="0"/>
          <w:divBdr>
            <w:top w:val="none" w:sz="0" w:space="0" w:color="auto"/>
            <w:left w:val="none" w:sz="0" w:space="0" w:color="auto"/>
            <w:bottom w:val="none" w:sz="0" w:space="0" w:color="auto"/>
            <w:right w:val="none" w:sz="0" w:space="0" w:color="auto"/>
          </w:divBdr>
        </w:div>
        <w:div w:id="530339868">
          <w:marLeft w:val="0"/>
          <w:marRight w:val="0"/>
          <w:marTop w:val="0"/>
          <w:marBottom w:val="0"/>
          <w:divBdr>
            <w:top w:val="none" w:sz="0" w:space="0" w:color="auto"/>
            <w:left w:val="none" w:sz="0" w:space="0" w:color="auto"/>
            <w:bottom w:val="none" w:sz="0" w:space="0" w:color="auto"/>
            <w:right w:val="none" w:sz="0" w:space="0" w:color="auto"/>
          </w:divBdr>
        </w:div>
        <w:div w:id="1214267861">
          <w:marLeft w:val="0"/>
          <w:marRight w:val="0"/>
          <w:marTop w:val="0"/>
          <w:marBottom w:val="0"/>
          <w:divBdr>
            <w:top w:val="none" w:sz="0" w:space="0" w:color="auto"/>
            <w:left w:val="none" w:sz="0" w:space="0" w:color="auto"/>
            <w:bottom w:val="none" w:sz="0" w:space="0" w:color="auto"/>
            <w:right w:val="none" w:sz="0" w:space="0" w:color="auto"/>
          </w:divBdr>
        </w:div>
        <w:div w:id="339628364">
          <w:marLeft w:val="0"/>
          <w:marRight w:val="0"/>
          <w:marTop w:val="0"/>
          <w:marBottom w:val="0"/>
          <w:divBdr>
            <w:top w:val="none" w:sz="0" w:space="0" w:color="auto"/>
            <w:left w:val="none" w:sz="0" w:space="0" w:color="auto"/>
            <w:bottom w:val="none" w:sz="0" w:space="0" w:color="auto"/>
            <w:right w:val="none" w:sz="0" w:space="0" w:color="auto"/>
          </w:divBdr>
        </w:div>
        <w:div w:id="2044594077">
          <w:marLeft w:val="0"/>
          <w:marRight w:val="0"/>
          <w:marTop w:val="0"/>
          <w:marBottom w:val="0"/>
          <w:divBdr>
            <w:top w:val="none" w:sz="0" w:space="0" w:color="auto"/>
            <w:left w:val="none" w:sz="0" w:space="0" w:color="auto"/>
            <w:bottom w:val="none" w:sz="0" w:space="0" w:color="auto"/>
            <w:right w:val="none" w:sz="0" w:space="0" w:color="auto"/>
          </w:divBdr>
        </w:div>
        <w:div w:id="436098895">
          <w:marLeft w:val="0"/>
          <w:marRight w:val="0"/>
          <w:marTop w:val="0"/>
          <w:marBottom w:val="0"/>
          <w:divBdr>
            <w:top w:val="none" w:sz="0" w:space="0" w:color="auto"/>
            <w:left w:val="none" w:sz="0" w:space="0" w:color="auto"/>
            <w:bottom w:val="none" w:sz="0" w:space="0" w:color="auto"/>
            <w:right w:val="none" w:sz="0" w:space="0" w:color="auto"/>
          </w:divBdr>
        </w:div>
        <w:div w:id="531695124">
          <w:marLeft w:val="0"/>
          <w:marRight w:val="0"/>
          <w:marTop w:val="0"/>
          <w:marBottom w:val="0"/>
          <w:divBdr>
            <w:top w:val="none" w:sz="0" w:space="0" w:color="auto"/>
            <w:left w:val="none" w:sz="0" w:space="0" w:color="auto"/>
            <w:bottom w:val="none" w:sz="0" w:space="0" w:color="auto"/>
            <w:right w:val="none" w:sz="0" w:space="0" w:color="auto"/>
          </w:divBdr>
        </w:div>
        <w:div w:id="1048577698">
          <w:marLeft w:val="0"/>
          <w:marRight w:val="0"/>
          <w:marTop w:val="0"/>
          <w:marBottom w:val="0"/>
          <w:divBdr>
            <w:top w:val="none" w:sz="0" w:space="0" w:color="auto"/>
            <w:left w:val="none" w:sz="0" w:space="0" w:color="auto"/>
            <w:bottom w:val="none" w:sz="0" w:space="0" w:color="auto"/>
            <w:right w:val="none" w:sz="0" w:space="0" w:color="auto"/>
          </w:divBdr>
        </w:div>
        <w:div w:id="1970748115">
          <w:marLeft w:val="0"/>
          <w:marRight w:val="0"/>
          <w:marTop w:val="0"/>
          <w:marBottom w:val="0"/>
          <w:divBdr>
            <w:top w:val="none" w:sz="0" w:space="0" w:color="auto"/>
            <w:left w:val="none" w:sz="0" w:space="0" w:color="auto"/>
            <w:bottom w:val="none" w:sz="0" w:space="0" w:color="auto"/>
            <w:right w:val="none" w:sz="0" w:space="0" w:color="auto"/>
          </w:divBdr>
        </w:div>
        <w:div w:id="1489126821">
          <w:marLeft w:val="0"/>
          <w:marRight w:val="0"/>
          <w:marTop w:val="0"/>
          <w:marBottom w:val="0"/>
          <w:divBdr>
            <w:top w:val="none" w:sz="0" w:space="0" w:color="auto"/>
            <w:left w:val="none" w:sz="0" w:space="0" w:color="auto"/>
            <w:bottom w:val="none" w:sz="0" w:space="0" w:color="auto"/>
            <w:right w:val="none" w:sz="0" w:space="0" w:color="auto"/>
          </w:divBdr>
        </w:div>
        <w:div w:id="1641303709">
          <w:marLeft w:val="0"/>
          <w:marRight w:val="0"/>
          <w:marTop w:val="0"/>
          <w:marBottom w:val="0"/>
          <w:divBdr>
            <w:top w:val="none" w:sz="0" w:space="0" w:color="auto"/>
            <w:left w:val="none" w:sz="0" w:space="0" w:color="auto"/>
            <w:bottom w:val="none" w:sz="0" w:space="0" w:color="auto"/>
            <w:right w:val="none" w:sz="0" w:space="0" w:color="auto"/>
          </w:divBdr>
        </w:div>
        <w:div w:id="2043434838">
          <w:marLeft w:val="0"/>
          <w:marRight w:val="0"/>
          <w:marTop w:val="0"/>
          <w:marBottom w:val="0"/>
          <w:divBdr>
            <w:top w:val="none" w:sz="0" w:space="0" w:color="auto"/>
            <w:left w:val="none" w:sz="0" w:space="0" w:color="auto"/>
            <w:bottom w:val="none" w:sz="0" w:space="0" w:color="auto"/>
            <w:right w:val="none" w:sz="0" w:space="0" w:color="auto"/>
          </w:divBdr>
        </w:div>
        <w:div w:id="253511873">
          <w:marLeft w:val="0"/>
          <w:marRight w:val="0"/>
          <w:marTop w:val="0"/>
          <w:marBottom w:val="0"/>
          <w:divBdr>
            <w:top w:val="none" w:sz="0" w:space="0" w:color="auto"/>
            <w:left w:val="none" w:sz="0" w:space="0" w:color="auto"/>
            <w:bottom w:val="none" w:sz="0" w:space="0" w:color="auto"/>
            <w:right w:val="none" w:sz="0" w:space="0" w:color="auto"/>
          </w:divBdr>
        </w:div>
        <w:div w:id="726148194">
          <w:marLeft w:val="0"/>
          <w:marRight w:val="0"/>
          <w:marTop w:val="0"/>
          <w:marBottom w:val="0"/>
          <w:divBdr>
            <w:top w:val="none" w:sz="0" w:space="0" w:color="auto"/>
            <w:left w:val="none" w:sz="0" w:space="0" w:color="auto"/>
            <w:bottom w:val="none" w:sz="0" w:space="0" w:color="auto"/>
            <w:right w:val="none" w:sz="0" w:space="0" w:color="auto"/>
          </w:divBdr>
        </w:div>
        <w:div w:id="1301375705">
          <w:marLeft w:val="0"/>
          <w:marRight w:val="0"/>
          <w:marTop w:val="0"/>
          <w:marBottom w:val="0"/>
          <w:divBdr>
            <w:top w:val="none" w:sz="0" w:space="0" w:color="auto"/>
            <w:left w:val="none" w:sz="0" w:space="0" w:color="auto"/>
            <w:bottom w:val="none" w:sz="0" w:space="0" w:color="auto"/>
            <w:right w:val="none" w:sz="0" w:space="0" w:color="auto"/>
          </w:divBdr>
        </w:div>
        <w:div w:id="794445126">
          <w:marLeft w:val="0"/>
          <w:marRight w:val="0"/>
          <w:marTop w:val="0"/>
          <w:marBottom w:val="0"/>
          <w:divBdr>
            <w:top w:val="none" w:sz="0" w:space="0" w:color="auto"/>
            <w:left w:val="none" w:sz="0" w:space="0" w:color="auto"/>
            <w:bottom w:val="none" w:sz="0" w:space="0" w:color="auto"/>
            <w:right w:val="none" w:sz="0" w:space="0" w:color="auto"/>
          </w:divBdr>
        </w:div>
        <w:div w:id="977615051">
          <w:marLeft w:val="0"/>
          <w:marRight w:val="0"/>
          <w:marTop w:val="0"/>
          <w:marBottom w:val="0"/>
          <w:divBdr>
            <w:top w:val="none" w:sz="0" w:space="0" w:color="auto"/>
            <w:left w:val="none" w:sz="0" w:space="0" w:color="auto"/>
            <w:bottom w:val="none" w:sz="0" w:space="0" w:color="auto"/>
            <w:right w:val="none" w:sz="0" w:space="0" w:color="auto"/>
          </w:divBdr>
        </w:div>
        <w:div w:id="1777021818">
          <w:marLeft w:val="0"/>
          <w:marRight w:val="0"/>
          <w:marTop w:val="0"/>
          <w:marBottom w:val="0"/>
          <w:divBdr>
            <w:top w:val="none" w:sz="0" w:space="0" w:color="auto"/>
            <w:left w:val="none" w:sz="0" w:space="0" w:color="auto"/>
            <w:bottom w:val="none" w:sz="0" w:space="0" w:color="auto"/>
            <w:right w:val="none" w:sz="0" w:space="0" w:color="auto"/>
          </w:divBdr>
        </w:div>
        <w:div w:id="1866478336">
          <w:marLeft w:val="0"/>
          <w:marRight w:val="0"/>
          <w:marTop w:val="0"/>
          <w:marBottom w:val="0"/>
          <w:divBdr>
            <w:top w:val="none" w:sz="0" w:space="0" w:color="auto"/>
            <w:left w:val="none" w:sz="0" w:space="0" w:color="auto"/>
            <w:bottom w:val="none" w:sz="0" w:space="0" w:color="auto"/>
            <w:right w:val="none" w:sz="0" w:space="0" w:color="auto"/>
          </w:divBdr>
        </w:div>
        <w:div w:id="354814864">
          <w:marLeft w:val="0"/>
          <w:marRight w:val="0"/>
          <w:marTop w:val="0"/>
          <w:marBottom w:val="0"/>
          <w:divBdr>
            <w:top w:val="none" w:sz="0" w:space="0" w:color="auto"/>
            <w:left w:val="none" w:sz="0" w:space="0" w:color="auto"/>
            <w:bottom w:val="none" w:sz="0" w:space="0" w:color="auto"/>
            <w:right w:val="none" w:sz="0" w:space="0" w:color="auto"/>
          </w:divBdr>
        </w:div>
        <w:div w:id="609748265">
          <w:marLeft w:val="0"/>
          <w:marRight w:val="0"/>
          <w:marTop w:val="0"/>
          <w:marBottom w:val="0"/>
          <w:divBdr>
            <w:top w:val="none" w:sz="0" w:space="0" w:color="auto"/>
            <w:left w:val="none" w:sz="0" w:space="0" w:color="auto"/>
            <w:bottom w:val="none" w:sz="0" w:space="0" w:color="auto"/>
            <w:right w:val="none" w:sz="0" w:space="0" w:color="auto"/>
          </w:divBdr>
        </w:div>
        <w:div w:id="1997294106">
          <w:marLeft w:val="0"/>
          <w:marRight w:val="0"/>
          <w:marTop w:val="0"/>
          <w:marBottom w:val="0"/>
          <w:divBdr>
            <w:top w:val="none" w:sz="0" w:space="0" w:color="auto"/>
            <w:left w:val="none" w:sz="0" w:space="0" w:color="auto"/>
            <w:bottom w:val="none" w:sz="0" w:space="0" w:color="auto"/>
            <w:right w:val="none" w:sz="0" w:space="0" w:color="auto"/>
          </w:divBdr>
        </w:div>
        <w:div w:id="1765759741">
          <w:marLeft w:val="0"/>
          <w:marRight w:val="0"/>
          <w:marTop w:val="0"/>
          <w:marBottom w:val="0"/>
          <w:divBdr>
            <w:top w:val="none" w:sz="0" w:space="0" w:color="auto"/>
            <w:left w:val="none" w:sz="0" w:space="0" w:color="auto"/>
            <w:bottom w:val="none" w:sz="0" w:space="0" w:color="auto"/>
            <w:right w:val="none" w:sz="0" w:space="0" w:color="auto"/>
          </w:divBdr>
        </w:div>
        <w:div w:id="1373190778">
          <w:marLeft w:val="0"/>
          <w:marRight w:val="0"/>
          <w:marTop w:val="0"/>
          <w:marBottom w:val="0"/>
          <w:divBdr>
            <w:top w:val="none" w:sz="0" w:space="0" w:color="auto"/>
            <w:left w:val="none" w:sz="0" w:space="0" w:color="auto"/>
            <w:bottom w:val="none" w:sz="0" w:space="0" w:color="auto"/>
            <w:right w:val="none" w:sz="0" w:space="0" w:color="auto"/>
          </w:divBdr>
        </w:div>
        <w:div w:id="1831285791">
          <w:marLeft w:val="0"/>
          <w:marRight w:val="0"/>
          <w:marTop w:val="0"/>
          <w:marBottom w:val="0"/>
          <w:divBdr>
            <w:top w:val="none" w:sz="0" w:space="0" w:color="auto"/>
            <w:left w:val="none" w:sz="0" w:space="0" w:color="auto"/>
            <w:bottom w:val="none" w:sz="0" w:space="0" w:color="auto"/>
            <w:right w:val="none" w:sz="0" w:space="0" w:color="auto"/>
          </w:divBdr>
        </w:div>
        <w:div w:id="809859934">
          <w:marLeft w:val="0"/>
          <w:marRight w:val="0"/>
          <w:marTop w:val="0"/>
          <w:marBottom w:val="0"/>
          <w:divBdr>
            <w:top w:val="none" w:sz="0" w:space="0" w:color="auto"/>
            <w:left w:val="none" w:sz="0" w:space="0" w:color="auto"/>
            <w:bottom w:val="none" w:sz="0" w:space="0" w:color="auto"/>
            <w:right w:val="none" w:sz="0" w:space="0" w:color="auto"/>
          </w:divBdr>
        </w:div>
        <w:div w:id="2067682637">
          <w:marLeft w:val="0"/>
          <w:marRight w:val="0"/>
          <w:marTop w:val="0"/>
          <w:marBottom w:val="0"/>
          <w:divBdr>
            <w:top w:val="none" w:sz="0" w:space="0" w:color="auto"/>
            <w:left w:val="none" w:sz="0" w:space="0" w:color="auto"/>
            <w:bottom w:val="none" w:sz="0" w:space="0" w:color="auto"/>
            <w:right w:val="none" w:sz="0" w:space="0" w:color="auto"/>
          </w:divBdr>
        </w:div>
        <w:div w:id="27342831">
          <w:marLeft w:val="0"/>
          <w:marRight w:val="0"/>
          <w:marTop w:val="0"/>
          <w:marBottom w:val="0"/>
          <w:divBdr>
            <w:top w:val="none" w:sz="0" w:space="0" w:color="auto"/>
            <w:left w:val="none" w:sz="0" w:space="0" w:color="auto"/>
            <w:bottom w:val="none" w:sz="0" w:space="0" w:color="auto"/>
            <w:right w:val="none" w:sz="0" w:space="0" w:color="auto"/>
          </w:divBdr>
        </w:div>
        <w:div w:id="1851483906">
          <w:marLeft w:val="0"/>
          <w:marRight w:val="0"/>
          <w:marTop w:val="0"/>
          <w:marBottom w:val="0"/>
          <w:divBdr>
            <w:top w:val="none" w:sz="0" w:space="0" w:color="auto"/>
            <w:left w:val="none" w:sz="0" w:space="0" w:color="auto"/>
            <w:bottom w:val="none" w:sz="0" w:space="0" w:color="auto"/>
            <w:right w:val="none" w:sz="0" w:space="0" w:color="auto"/>
          </w:divBdr>
        </w:div>
        <w:div w:id="1444497377">
          <w:marLeft w:val="0"/>
          <w:marRight w:val="0"/>
          <w:marTop w:val="0"/>
          <w:marBottom w:val="0"/>
          <w:divBdr>
            <w:top w:val="none" w:sz="0" w:space="0" w:color="auto"/>
            <w:left w:val="none" w:sz="0" w:space="0" w:color="auto"/>
            <w:bottom w:val="none" w:sz="0" w:space="0" w:color="auto"/>
            <w:right w:val="none" w:sz="0" w:space="0" w:color="auto"/>
          </w:divBdr>
        </w:div>
        <w:div w:id="737018291">
          <w:marLeft w:val="0"/>
          <w:marRight w:val="0"/>
          <w:marTop w:val="0"/>
          <w:marBottom w:val="0"/>
          <w:divBdr>
            <w:top w:val="none" w:sz="0" w:space="0" w:color="auto"/>
            <w:left w:val="none" w:sz="0" w:space="0" w:color="auto"/>
            <w:bottom w:val="none" w:sz="0" w:space="0" w:color="auto"/>
            <w:right w:val="none" w:sz="0" w:space="0" w:color="auto"/>
          </w:divBdr>
        </w:div>
        <w:div w:id="1225221106">
          <w:marLeft w:val="0"/>
          <w:marRight w:val="0"/>
          <w:marTop w:val="0"/>
          <w:marBottom w:val="0"/>
          <w:divBdr>
            <w:top w:val="none" w:sz="0" w:space="0" w:color="auto"/>
            <w:left w:val="none" w:sz="0" w:space="0" w:color="auto"/>
            <w:bottom w:val="none" w:sz="0" w:space="0" w:color="auto"/>
            <w:right w:val="none" w:sz="0" w:space="0" w:color="auto"/>
          </w:divBdr>
        </w:div>
        <w:div w:id="1937783931">
          <w:marLeft w:val="0"/>
          <w:marRight w:val="0"/>
          <w:marTop w:val="0"/>
          <w:marBottom w:val="0"/>
          <w:divBdr>
            <w:top w:val="none" w:sz="0" w:space="0" w:color="auto"/>
            <w:left w:val="none" w:sz="0" w:space="0" w:color="auto"/>
            <w:bottom w:val="none" w:sz="0" w:space="0" w:color="auto"/>
            <w:right w:val="none" w:sz="0" w:space="0" w:color="auto"/>
          </w:divBdr>
        </w:div>
        <w:div w:id="1606158460">
          <w:marLeft w:val="0"/>
          <w:marRight w:val="0"/>
          <w:marTop w:val="0"/>
          <w:marBottom w:val="0"/>
          <w:divBdr>
            <w:top w:val="none" w:sz="0" w:space="0" w:color="auto"/>
            <w:left w:val="none" w:sz="0" w:space="0" w:color="auto"/>
            <w:bottom w:val="none" w:sz="0" w:space="0" w:color="auto"/>
            <w:right w:val="none" w:sz="0" w:space="0" w:color="auto"/>
          </w:divBdr>
        </w:div>
        <w:div w:id="255793891">
          <w:marLeft w:val="0"/>
          <w:marRight w:val="0"/>
          <w:marTop w:val="0"/>
          <w:marBottom w:val="0"/>
          <w:divBdr>
            <w:top w:val="none" w:sz="0" w:space="0" w:color="auto"/>
            <w:left w:val="none" w:sz="0" w:space="0" w:color="auto"/>
            <w:bottom w:val="none" w:sz="0" w:space="0" w:color="auto"/>
            <w:right w:val="none" w:sz="0" w:space="0" w:color="auto"/>
          </w:divBdr>
        </w:div>
        <w:div w:id="107744026">
          <w:marLeft w:val="0"/>
          <w:marRight w:val="0"/>
          <w:marTop w:val="0"/>
          <w:marBottom w:val="0"/>
          <w:divBdr>
            <w:top w:val="none" w:sz="0" w:space="0" w:color="auto"/>
            <w:left w:val="none" w:sz="0" w:space="0" w:color="auto"/>
            <w:bottom w:val="none" w:sz="0" w:space="0" w:color="auto"/>
            <w:right w:val="none" w:sz="0" w:space="0" w:color="auto"/>
          </w:divBdr>
        </w:div>
        <w:div w:id="1877044131">
          <w:marLeft w:val="0"/>
          <w:marRight w:val="0"/>
          <w:marTop w:val="0"/>
          <w:marBottom w:val="0"/>
          <w:divBdr>
            <w:top w:val="none" w:sz="0" w:space="0" w:color="auto"/>
            <w:left w:val="none" w:sz="0" w:space="0" w:color="auto"/>
            <w:bottom w:val="none" w:sz="0" w:space="0" w:color="auto"/>
            <w:right w:val="none" w:sz="0" w:space="0" w:color="auto"/>
          </w:divBdr>
        </w:div>
        <w:div w:id="67458423">
          <w:marLeft w:val="0"/>
          <w:marRight w:val="0"/>
          <w:marTop w:val="0"/>
          <w:marBottom w:val="0"/>
          <w:divBdr>
            <w:top w:val="none" w:sz="0" w:space="0" w:color="auto"/>
            <w:left w:val="none" w:sz="0" w:space="0" w:color="auto"/>
            <w:bottom w:val="none" w:sz="0" w:space="0" w:color="auto"/>
            <w:right w:val="none" w:sz="0" w:space="0" w:color="auto"/>
          </w:divBdr>
        </w:div>
        <w:div w:id="1212302900">
          <w:marLeft w:val="0"/>
          <w:marRight w:val="0"/>
          <w:marTop w:val="0"/>
          <w:marBottom w:val="0"/>
          <w:divBdr>
            <w:top w:val="none" w:sz="0" w:space="0" w:color="auto"/>
            <w:left w:val="none" w:sz="0" w:space="0" w:color="auto"/>
            <w:bottom w:val="none" w:sz="0" w:space="0" w:color="auto"/>
            <w:right w:val="none" w:sz="0" w:space="0" w:color="auto"/>
          </w:divBdr>
        </w:div>
        <w:div w:id="1333876833">
          <w:marLeft w:val="0"/>
          <w:marRight w:val="0"/>
          <w:marTop w:val="0"/>
          <w:marBottom w:val="0"/>
          <w:divBdr>
            <w:top w:val="none" w:sz="0" w:space="0" w:color="auto"/>
            <w:left w:val="none" w:sz="0" w:space="0" w:color="auto"/>
            <w:bottom w:val="none" w:sz="0" w:space="0" w:color="auto"/>
            <w:right w:val="none" w:sz="0" w:space="0" w:color="auto"/>
          </w:divBdr>
        </w:div>
        <w:div w:id="676079671">
          <w:marLeft w:val="0"/>
          <w:marRight w:val="0"/>
          <w:marTop w:val="0"/>
          <w:marBottom w:val="0"/>
          <w:divBdr>
            <w:top w:val="none" w:sz="0" w:space="0" w:color="auto"/>
            <w:left w:val="none" w:sz="0" w:space="0" w:color="auto"/>
            <w:bottom w:val="none" w:sz="0" w:space="0" w:color="auto"/>
            <w:right w:val="none" w:sz="0" w:space="0" w:color="auto"/>
          </w:divBdr>
        </w:div>
        <w:div w:id="1318075094">
          <w:marLeft w:val="0"/>
          <w:marRight w:val="0"/>
          <w:marTop w:val="0"/>
          <w:marBottom w:val="0"/>
          <w:divBdr>
            <w:top w:val="none" w:sz="0" w:space="0" w:color="auto"/>
            <w:left w:val="none" w:sz="0" w:space="0" w:color="auto"/>
            <w:bottom w:val="none" w:sz="0" w:space="0" w:color="auto"/>
            <w:right w:val="none" w:sz="0" w:space="0" w:color="auto"/>
          </w:divBdr>
        </w:div>
        <w:div w:id="788283811">
          <w:marLeft w:val="0"/>
          <w:marRight w:val="0"/>
          <w:marTop w:val="0"/>
          <w:marBottom w:val="0"/>
          <w:divBdr>
            <w:top w:val="none" w:sz="0" w:space="0" w:color="auto"/>
            <w:left w:val="none" w:sz="0" w:space="0" w:color="auto"/>
            <w:bottom w:val="none" w:sz="0" w:space="0" w:color="auto"/>
            <w:right w:val="none" w:sz="0" w:space="0" w:color="auto"/>
          </w:divBdr>
        </w:div>
        <w:div w:id="827598985">
          <w:marLeft w:val="0"/>
          <w:marRight w:val="0"/>
          <w:marTop w:val="0"/>
          <w:marBottom w:val="0"/>
          <w:divBdr>
            <w:top w:val="none" w:sz="0" w:space="0" w:color="auto"/>
            <w:left w:val="none" w:sz="0" w:space="0" w:color="auto"/>
            <w:bottom w:val="none" w:sz="0" w:space="0" w:color="auto"/>
            <w:right w:val="none" w:sz="0" w:space="0" w:color="auto"/>
          </w:divBdr>
        </w:div>
        <w:div w:id="863902708">
          <w:marLeft w:val="0"/>
          <w:marRight w:val="0"/>
          <w:marTop w:val="0"/>
          <w:marBottom w:val="0"/>
          <w:divBdr>
            <w:top w:val="none" w:sz="0" w:space="0" w:color="auto"/>
            <w:left w:val="none" w:sz="0" w:space="0" w:color="auto"/>
            <w:bottom w:val="none" w:sz="0" w:space="0" w:color="auto"/>
            <w:right w:val="none" w:sz="0" w:space="0" w:color="auto"/>
          </w:divBdr>
        </w:div>
        <w:div w:id="2021468051">
          <w:marLeft w:val="0"/>
          <w:marRight w:val="0"/>
          <w:marTop w:val="0"/>
          <w:marBottom w:val="0"/>
          <w:divBdr>
            <w:top w:val="none" w:sz="0" w:space="0" w:color="auto"/>
            <w:left w:val="none" w:sz="0" w:space="0" w:color="auto"/>
            <w:bottom w:val="none" w:sz="0" w:space="0" w:color="auto"/>
            <w:right w:val="none" w:sz="0" w:space="0" w:color="auto"/>
          </w:divBdr>
        </w:div>
        <w:div w:id="900213720">
          <w:marLeft w:val="0"/>
          <w:marRight w:val="0"/>
          <w:marTop w:val="0"/>
          <w:marBottom w:val="0"/>
          <w:divBdr>
            <w:top w:val="none" w:sz="0" w:space="0" w:color="auto"/>
            <w:left w:val="none" w:sz="0" w:space="0" w:color="auto"/>
            <w:bottom w:val="none" w:sz="0" w:space="0" w:color="auto"/>
            <w:right w:val="none" w:sz="0" w:space="0" w:color="auto"/>
          </w:divBdr>
        </w:div>
        <w:div w:id="612397896">
          <w:marLeft w:val="0"/>
          <w:marRight w:val="0"/>
          <w:marTop w:val="0"/>
          <w:marBottom w:val="0"/>
          <w:divBdr>
            <w:top w:val="none" w:sz="0" w:space="0" w:color="auto"/>
            <w:left w:val="none" w:sz="0" w:space="0" w:color="auto"/>
            <w:bottom w:val="none" w:sz="0" w:space="0" w:color="auto"/>
            <w:right w:val="none" w:sz="0" w:space="0" w:color="auto"/>
          </w:divBdr>
        </w:div>
        <w:div w:id="907350466">
          <w:marLeft w:val="0"/>
          <w:marRight w:val="0"/>
          <w:marTop w:val="0"/>
          <w:marBottom w:val="0"/>
          <w:divBdr>
            <w:top w:val="none" w:sz="0" w:space="0" w:color="auto"/>
            <w:left w:val="none" w:sz="0" w:space="0" w:color="auto"/>
            <w:bottom w:val="none" w:sz="0" w:space="0" w:color="auto"/>
            <w:right w:val="none" w:sz="0" w:space="0" w:color="auto"/>
          </w:divBdr>
        </w:div>
        <w:div w:id="1518078069">
          <w:marLeft w:val="0"/>
          <w:marRight w:val="0"/>
          <w:marTop w:val="0"/>
          <w:marBottom w:val="0"/>
          <w:divBdr>
            <w:top w:val="none" w:sz="0" w:space="0" w:color="auto"/>
            <w:left w:val="none" w:sz="0" w:space="0" w:color="auto"/>
            <w:bottom w:val="none" w:sz="0" w:space="0" w:color="auto"/>
            <w:right w:val="none" w:sz="0" w:space="0" w:color="auto"/>
          </w:divBdr>
        </w:div>
        <w:div w:id="192575768">
          <w:marLeft w:val="0"/>
          <w:marRight w:val="0"/>
          <w:marTop w:val="0"/>
          <w:marBottom w:val="0"/>
          <w:divBdr>
            <w:top w:val="none" w:sz="0" w:space="0" w:color="auto"/>
            <w:left w:val="none" w:sz="0" w:space="0" w:color="auto"/>
            <w:bottom w:val="none" w:sz="0" w:space="0" w:color="auto"/>
            <w:right w:val="none" w:sz="0" w:space="0" w:color="auto"/>
          </w:divBdr>
        </w:div>
        <w:div w:id="674647741">
          <w:marLeft w:val="0"/>
          <w:marRight w:val="0"/>
          <w:marTop w:val="0"/>
          <w:marBottom w:val="0"/>
          <w:divBdr>
            <w:top w:val="none" w:sz="0" w:space="0" w:color="auto"/>
            <w:left w:val="none" w:sz="0" w:space="0" w:color="auto"/>
            <w:bottom w:val="none" w:sz="0" w:space="0" w:color="auto"/>
            <w:right w:val="none" w:sz="0" w:space="0" w:color="auto"/>
          </w:divBdr>
        </w:div>
        <w:div w:id="1234312033">
          <w:marLeft w:val="0"/>
          <w:marRight w:val="0"/>
          <w:marTop w:val="0"/>
          <w:marBottom w:val="0"/>
          <w:divBdr>
            <w:top w:val="none" w:sz="0" w:space="0" w:color="auto"/>
            <w:left w:val="none" w:sz="0" w:space="0" w:color="auto"/>
            <w:bottom w:val="none" w:sz="0" w:space="0" w:color="auto"/>
            <w:right w:val="none" w:sz="0" w:space="0" w:color="auto"/>
          </w:divBdr>
        </w:div>
        <w:div w:id="1652371591">
          <w:marLeft w:val="0"/>
          <w:marRight w:val="0"/>
          <w:marTop w:val="0"/>
          <w:marBottom w:val="0"/>
          <w:divBdr>
            <w:top w:val="none" w:sz="0" w:space="0" w:color="auto"/>
            <w:left w:val="none" w:sz="0" w:space="0" w:color="auto"/>
            <w:bottom w:val="none" w:sz="0" w:space="0" w:color="auto"/>
            <w:right w:val="none" w:sz="0" w:space="0" w:color="auto"/>
          </w:divBdr>
        </w:div>
        <w:div w:id="1247574807">
          <w:marLeft w:val="0"/>
          <w:marRight w:val="0"/>
          <w:marTop w:val="0"/>
          <w:marBottom w:val="0"/>
          <w:divBdr>
            <w:top w:val="none" w:sz="0" w:space="0" w:color="auto"/>
            <w:left w:val="none" w:sz="0" w:space="0" w:color="auto"/>
            <w:bottom w:val="none" w:sz="0" w:space="0" w:color="auto"/>
            <w:right w:val="none" w:sz="0" w:space="0" w:color="auto"/>
          </w:divBdr>
        </w:div>
        <w:div w:id="1067265487">
          <w:marLeft w:val="0"/>
          <w:marRight w:val="0"/>
          <w:marTop w:val="0"/>
          <w:marBottom w:val="0"/>
          <w:divBdr>
            <w:top w:val="none" w:sz="0" w:space="0" w:color="auto"/>
            <w:left w:val="none" w:sz="0" w:space="0" w:color="auto"/>
            <w:bottom w:val="none" w:sz="0" w:space="0" w:color="auto"/>
            <w:right w:val="none" w:sz="0" w:space="0" w:color="auto"/>
          </w:divBdr>
        </w:div>
        <w:div w:id="2107264590">
          <w:marLeft w:val="0"/>
          <w:marRight w:val="0"/>
          <w:marTop w:val="0"/>
          <w:marBottom w:val="0"/>
          <w:divBdr>
            <w:top w:val="none" w:sz="0" w:space="0" w:color="auto"/>
            <w:left w:val="none" w:sz="0" w:space="0" w:color="auto"/>
            <w:bottom w:val="none" w:sz="0" w:space="0" w:color="auto"/>
            <w:right w:val="none" w:sz="0" w:space="0" w:color="auto"/>
          </w:divBdr>
        </w:div>
        <w:div w:id="904871222">
          <w:marLeft w:val="0"/>
          <w:marRight w:val="0"/>
          <w:marTop w:val="0"/>
          <w:marBottom w:val="0"/>
          <w:divBdr>
            <w:top w:val="none" w:sz="0" w:space="0" w:color="auto"/>
            <w:left w:val="none" w:sz="0" w:space="0" w:color="auto"/>
            <w:bottom w:val="none" w:sz="0" w:space="0" w:color="auto"/>
            <w:right w:val="none" w:sz="0" w:space="0" w:color="auto"/>
          </w:divBdr>
        </w:div>
        <w:div w:id="1468740415">
          <w:marLeft w:val="0"/>
          <w:marRight w:val="0"/>
          <w:marTop w:val="0"/>
          <w:marBottom w:val="0"/>
          <w:divBdr>
            <w:top w:val="none" w:sz="0" w:space="0" w:color="auto"/>
            <w:left w:val="none" w:sz="0" w:space="0" w:color="auto"/>
            <w:bottom w:val="none" w:sz="0" w:space="0" w:color="auto"/>
            <w:right w:val="none" w:sz="0" w:space="0" w:color="auto"/>
          </w:divBdr>
        </w:div>
        <w:div w:id="274485160">
          <w:marLeft w:val="0"/>
          <w:marRight w:val="0"/>
          <w:marTop w:val="0"/>
          <w:marBottom w:val="0"/>
          <w:divBdr>
            <w:top w:val="none" w:sz="0" w:space="0" w:color="auto"/>
            <w:left w:val="none" w:sz="0" w:space="0" w:color="auto"/>
            <w:bottom w:val="none" w:sz="0" w:space="0" w:color="auto"/>
            <w:right w:val="none" w:sz="0" w:space="0" w:color="auto"/>
          </w:divBdr>
        </w:div>
        <w:div w:id="1934125827">
          <w:marLeft w:val="0"/>
          <w:marRight w:val="0"/>
          <w:marTop w:val="0"/>
          <w:marBottom w:val="0"/>
          <w:divBdr>
            <w:top w:val="none" w:sz="0" w:space="0" w:color="auto"/>
            <w:left w:val="none" w:sz="0" w:space="0" w:color="auto"/>
            <w:bottom w:val="none" w:sz="0" w:space="0" w:color="auto"/>
            <w:right w:val="none" w:sz="0" w:space="0" w:color="auto"/>
          </w:divBdr>
        </w:div>
        <w:div w:id="69622224">
          <w:marLeft w:val="0"/>
          <w:marRight w:val="0"/>
          <w:marTop w:val="0"/>
          <w:marBottom w:val="0"/>
          <w:divBdr>
            <w:top w:val="none" w:sz="0" w:space="0" w:color="auto"/>
            <w:left w:val="none" w:sz="0" w:space="0" w:color="auto"/>
            <w:bottom w:val="none" w:sz="0" w:space="0" w:color="auto"/>
            <w:right w:val="none" w:sz="0" w:space="0" w:color="auto"/>
          </w:divBdr>
        </w:div>
        <w:div w:id="384717919">
          <w:marLeft w:val="0"/>
          <w:marRight w:val="0"/>
          <w:marTop w:val="0"/>
          <w:marBottom w:val="0"/>
          <w:divBdr>
            <w:top w:val="none" w:sz="0" w:space="0" w:color="auto"/>
            <w:left w:val="none" w:sz="0" w:space="0" w:color="auto"/>
            <w:bottom w:val="none" w:sz="0" w:space="0" w:color="auto"/>
            <w:right w:val="none" w:sz="0" w:space="0" w:color="auto"/>
          </w:divBdr>
        </w:div>
        <w:div w:id="1502502962">
          <w:marLeft w:val="0"/>
          <w:marRight w:val="0"/>
          <w:marTop w:val="0"/>
          <w:marBottom w:val="0"/>
          <w:divBdr>
            <w:top w:val="none" w:sz="0" w:space="0" w:color="auto"/>
            <w:left w:val="none" w:sz="0" w:space="0" w:color="auto"/>
            <w:bottom w:val="none" w:sz="0" w:space="0" w:color="auto"/>
            <w:right w:val="none" w:sz="0" w:space="0" w:color="auto"/>
          </w:divBdr>
        </w:div>
        <w:div w:id="95101187">
          <w:marLeft w:val="0"/>
          <w:marRight w:val="0"/>
          <w:marTop w:val="0"/>
          <w:marBottom w:val="0"/>
          <w:divBdr>
            <w:top w:val="none" w:sz="0" w:space="0" w:color="auto"/>
            <w:left w:val="none" w:sz="0" w:space="0" w:color="auto"/>
            <w:bottom w:val="none" w:sz="0" w:space="0" w:color="auto"/>
            <w:right w:val="none" w:sz="0" w:space="0" w:color="auto"/>
          </w:divBdr>
        </w:div>
        <w:div w:id="1901331741">
          <w:marLeft w:val="0"/>
          <w:marRight w:val="0"/>
          <w:marTop w:val="0"/>
          <w:marBottom w:val="0"/>
          <w:divBdr>
            <w:top w:val="none" w:sz="0" w:space="0" w:color="auto"/>
            <w:left w:val="none" w:sz="0" w:space="0" w:color="auto"/>
            <w:bottom w:val="none" w:sz="0" w:space="0" w:color="auto"/>
            <w:right w:val="none" w:sz="0" w:space="0" w:color="auto"/>
          </w:divBdr>
        </w:div>
        <w:div w:id="951784123">
          <w:marLeft w:val="0"/>
          <w:marRight w:val="0"/>
          <w:marTop w:val="0"/>
          <w:marBottom w:val="0"/>
          <w:divBdr>
            <w:top w:val="none" w:sz="0" w:space="0" w:color="auto"/>
            <w:left w:val="none" w:sz="0" w:space="0" w:color="auto"/>
            <w:bottom w:val="none" w:sz="0" w:space="0" w:color="auto"/>
            <w:right w:val="none" w:sz="0" w:space="0" w:color="auto"/>
          </w:divBdr>
        </w:div>
        <w:div w:id="303049336">
          <w:marLeft w:val="0"/>
          <w:marRight w:val="0"/>
          <w:marTop w:val="0"/>
          <w:marBottom w:val="0"/>
          <w:divBdr>
            <w:top w:val="none" w:sz="0" w:space="0" w:color="auto"/>
            <w:left w:val="none" w:sz="0" w:space="0" w:color="auto"/>
            <w:bottom w:val="none" w:sz="0" w:space="0" w:color="auto"/>
            <w:right w:val="none" w:sz="0" w:space="0" w:color="auto"/>
          </w:divBdr>
        </w:div>
        <w:div w:id="1674450335">
          <w:marLeft w:val="0"/>
          <w:marRight w:val="0"/>
          <w:marTop w:val="0"/>
          <w:marBottom w:val="0"/>
          <w:divBdr>
            <w:top w:val="none" w:sz="0" w:space="0" w:color="auto"/>
            <w:left w:val="none" w:sz="0" w:space="0" w:color="auto"/>
            <w:bottom w:val="none" w:sz="0" w:space="0" w:color="auto"/>
            <w:right w:val="none" w:sz="0" w:space="0" w:color="auto"/>
          </w:divBdr>
        </w:div>
        <w:div w:id="131138798">
          <w:marLeft w:val="0"/>
          <w:marRight w:val="0"/>
          <w:marTop w:val="0"/>
          <w:marBottom w:val="0"/>
          <w:divBdr>
            <w:top w:val="none" w:sz="0" w:space="0" w:color="auto"/>
            <w:left w:val="none" w:sz="0" w:space="0" w:color="auto"/>
            <w:bottom w:val="none" w:sz="0" w:space="0" w:color="auto"/>
            <w:right w:val="none" w:sz="0" w:space="0" w:color="auto"/>
          </w:divBdr>
        </w:div>
        <w:div w:id="895700906">
          <w:marLeft w:val="0"/>
          <w:marRight w:val="0"/>
          <w:marTop w:val="0"/>
          <w:marBottom w:val="0"/>
          <w:divBdr>
            <w:top w:val="none" w:sz="0" w:space="0" w:color="auto"/>
            <w:left w:val="none" w:sz="0" w:space="0" w:color="auto"/>
            <w:bottom w:val="none" w:sz="0" w:space="0" w:color="auto"/>
            <w:right w:val="none" w:sz="0" w:space="0" w:color="auto"/>
          </w:divBdr>
        </w:div>
        <w:div w:id="1481455500">
          <w:marLeft w:val="0"/>
          <w:marRight w:val="0"/>
          <w:marTop w:val="0"/>
          <w:marBottom w:val="0"/>
          <w:divBdr>
            <w:top w:val="none" w:sz="0" w:space="0" w:color="auto"/>
            <w:left w:val="none" w:sz="0" w:space="0" w:color="auto"/>
            <w:bottom w:val="none" w:sz="0" w:space="0" w:color="auto"/>
            <w:right w:val="none" w:sz="0" w:space="0" w:color="auto"/>
          </w:divBdr>
        </w:div>
        <w:div w:id="2120491755">
          <w:marLeft w:val="0"/>
          <w:marRight w:val="0"/>
          <w:marTop w:val="0"/>
          <w:marBottom w:val="0"/>
          <w:divBdr>
            <w:top w:val="none" w:sz="0" w:space="0" w:color="auto"/>
            <w:left w:val="none" w:sz="0" w:space="0" w:color="auto"/>
            <w:bottom w:val="none" w:sz="0" w:space="0" w:color="auto"/>
            <w:right w:val="none" w:sz="0" w:space="0" w:color="auto"/>
          </w:divBdr>
        </w:div>
        <w:div w:id="377172039">
          <w:marLeft w:val="0"/>
          <w:marRight w:val="0"/>
          <w:marTop w:val="0"/>
          <w:marBottom w:val="0"/>
          <w:divBdr>
            <w:top w:val="none" w:sz="0" w:space="0" w:color="auto"/>
            <w:left w:val="none" w:sz="0" w:space="0" w:color="auto"/>
            <w:bottom w:val="none" w:sz="0" w:space="0" w:color="auto"/>
            <w:right w:val="none" w:sz="0" w:space="0" w:color="auto"/>
          </w:divBdr>
        </w:div>
        <w:div w:id="917447607">
          <w:marLeft w:val="0"/>
          <w:marRight w:val="0"/>
          <w:marTop w:val="0"/>
          <w:marBottom w:val="0"/>
          <w:divBdr>
            <w:top w:val="none" w:sz="0" w:space="0" w:color="auto"/>
            <w:left w:val="none" w:sz="0" w:space="0" w:color="auto"/>
            <w:bottom w:val="none" w:sz="0" w:space="0" w:color="auto"/>
            <w:right w:val="none" w:sz="0" w:space="0" w:color="auto"/>
          </w:divBdr>
        </w:div>
        <w:div w:id="779910690">
          <w:marLeft w:val="0"/>
          <w:marRight w:val="0"/>
          <w:marTop w:val="0"/>
          <w:marBottom w:val="0"/>
          <w:divBdr>
            <w:top w:val="none" w:sz="0" w:space="0" w:color="auto"/>
            <w:left w:val="none" w:sz="0" w:space="0" w:color="auto"/>
            <w:bottom w:val="none" w:sz="0" w:space="0" w:color="auto"/>
            <w:right w:val="none" w:sz="0" w:space="0" w:color="auto"/>
          </w:divBdr>
        </w:div>
        <w:div w:id="481505566">
          <w:marLeft w:val="0"/>
          <w:marRight w:val="0"/>
          <w:marTop w:val="0"/>
          <w:marBottom w:val="0"/>
          <w:divBdr>
            <w:top w:val="none" w:sz="0" w:space="0" w:color="auto"/>
            <w:left w:val="none" w:sz="0" w:space="0" w:color="auto"/>
            <w:bottom w:val="none" w:sz="0" w:space="0" w:color="auto"/>
            <w:right w:val="none" w:sz="0" w:space="0" w:color="auto"/>
          </w:divBdr>
        </w:div>
        <w:div w:id="1877041379">
          <w:marLeft w:val="0"/>
          <w:marRight w:val="0"/>
          <w:marTop w:val="0"/>
          <w:marBottom w:val="0"/>
          <w:divBdr>
            <w:top w:val="none" w:sz="0" w:space="0" w:color="auto"/>
            <w:left w:val="none" w:sz="0" w:space="0" w:color="auto"/>
            <w:bottom w:val="none" w:sz="0" w:space="0" w:color="auto"/>
            <w:right w:val="none" w:sz="0" w:space="0" w:color="auto"/>
          </w:divBdr>
        </w:div>
        <w:div w:id="122967704">
          <w:marLeft w:val="0"/>
          <w:marRight w:val="0"/>
          <w:marTop w:val="0"/>
          <w:marBottom w:val="0"/>
          <w:divBdr>
            <w:top w:val="none" w:sz="0" w:space="0" w:color="auto"/>
            <w:left w:val="none" w:sz="0" w:space="0" w:color="auto"/>
            <w:bottom w:val="none" w:sz="0" w:space="0" w:color="auto"/>
            <w:right w:val="none" w:sz="0" w:space="0" w:color="auto"/>
          </w:divBdr>
        </w:div>
        <w:div w:id="510025182">
          <w:marLeft w:val="0"/>
          <w:marRight w:val="0"/>
          <w:marTop w:val="0"/>
          <w:marBottom w:val="0"/>
          <w:divBdr>
            <w:top w:val="none" w:sz="0" w:space="0" w:color="auto"/>
            <w:left w:val="none" w:sz="0" w:space="0" w:color="auto"/>
            <w:bottom w:val="none" w:sz="0" w:space="0" w:color="auto"/>
            <w:right w:val="none" w:sz="0" w:space="0" w:color="auto"/>
          </w:divBdr>
        </w:div>
        <w:div w:id="1149639275">
          <w:marLeft w:val="0"/>
          <w:marRight w:val="0"/>
          <w:marTop w:val="0"/>
          <w:marBottom w:val="0"/>
          <w:divBdr>
            <w:top w:val="none" w:sz="0" w:space="0" w:color="auto"/>
            <w:left w:val="none" w:sz="0" w:space="0" w:color="auto"/>
            <w:bottom w:val="none" w:sz="0" w:space="0" w:color="auto"/>
            <w:right w:val="none" w:sz="0" w:space="0" w:color="auto"/>
          </w:divBdr>
        </w:div>
        <w:div w:id="295569541">
          <w:marLeft w:val="0"/>
          <w:marRight w:val="0"/>
          <w:marTop w:val="0"/>
          <w:marBottom w:val="0"/>
          <w:divBdr>
            <w:top w:val="none" w:sz="0" w:space="0" w:color="auto"/>
            <w:left w:val="none" w:sz="0" w:space="0" w:color="auto"/>
            <w:bottom w:val="none" w:sz="0" w:space="0" w:color="auto"/>
            <w:right w:val="none" w:sz="0" w:space="0" w:color="auto"/>
          </w:divBdr>
        </w:div>
        <w:div w:id="1613440099">
          <w:marLeft w:val="0"/>
          <w:marRight w:val="0"/>
          <w:marTop w:val="0"/>
          <w:marBottom w:val="0"/>
          <w:divBdr>
            <w:top w:val="none" w:sz="0" w:space="0" w:color="auto"/>
            <w:left w:val="none" w:sz="0" w:space="0" w:color="auto"/>
            <w:bottom w:val="none" w:sz="0" w:space="0" w:color="auto"/>
            <w:right w:val="none" w:sz="0" w:space="0" w:color="auto"/>
          </w:divBdr>
        </w:div>
        <w:div w:id="189417306">
          <w:marLeft w:val="0"/>
          <w:marRight w:val="0"/>
          <w:marTop w:val="0"/>
          <w:marBottom w:val="0"/>
          <w:divBdr>
            <w:top w:val="none" w:sz="0" w:space="0" w:color="auto"/>
            <w:left w:val="none" w:sz="0" w:space="0" w:color="auto"/>
            <w:bottom w:val="none" w:sz="0" w:space="0" w:color="auto"/>
            <w:right w:val="none" w:sz="0" w:space="0" w:color="auto"/>
          </w:divBdr>
        </w:div>
        <w:div w:id="1596013739">
          <w:marLeft w:val="0"/>
          <w:marRight w:val="0"/>
          <w:marTop w:val="0"/>
          <w:marBottom w:val="0"/>
          <w:divBdr>
            <w:top w:val="none" w:sz="0" w:space="0" w:color="auto"/>
            <w:left w:val="none" w:sz="0" w:space="0" w:color="auto"/>
            <w:bottom w:val="none" w:sz="0" w:space="0" w:color="auto"/>
            <w:right w:val="none" w:sz="0" w:space="0" w:color="auto"/>
          </w:divBdr>
        </w:div>
        <w:div w:id="40911449">
          <w:marLeft w:val="0"/>
          <w:marRight w:val="0"/>
          <w:marTop w:val="0"/>
          <w:marBottom w:val="0"/>
          <w:divBdr>
            <w:top w:val="none" w:sz="0" w:space="0" w:color="auto"/>
            <w:left w:val="none" w:sz="0" w:space="0" w:color="auto"/>
            <w:bottom w:val="none" w:sz="0" w:space="0" w:color="auto"/>
            <w:right w:val="none" w:sz="0" w:space="0" w:color="auto"/>
          </w:divBdr>
        </w:div>
        <w:div w:id="1558323966">
          <w:marLeft w:val="0"/>
          <w:marRight w:val="0"/>
          <w:marTop w:val="0"/>
          <w:marBottom w:val="0"/>
          <w:divBdr>
            <w:top w:val="none" w:sz="0" w:space="0" w:color="auto"/>
            <w:left w:val="none" w:sz="0" w:space="0" w:color="auto"/>
            <w:bottom w:val="none" w:sz="0" w:space="0" w:color="auto"/>
            <w:right w:val="none" w:sz="0" w:space="0" w:color="auto"/>
          </w:divBdr>
        </w:div>
        <w:div w:id="1796022052">
          <w:marLeft w:val="0"/>
          <w:marRight w:val="0"/>
          <w:marTop w:val="0"/>
          <w:marBottom w:val="0"/>
          <w:divBdr>
            <w:top w:val="none" w:sz="0" w:space="0" w:color="auto"/>
            <w:left w:val="none" w:sz="0" w:space="0" w:color="auto"/>
            <w:bottom w:val="none" w:sz="0" w:space="0" w:color="auto"/>
            <w:right w:val="none" w:sz="0" w:space="0" w:color="auto"/>
          </w:divBdr>
        </w:div>
        <w:div w:id="975834304">
          <w:marLeft w:val="0"/>
          <w:marRight w:val="0"/>
          <w:marTop w:val="0"/>
          <w:marBottom w:val="0"/>
          <w:divBdr>
            <w:top w:val="none" w:sz="0" w:space="0" w:color="auto"/>
            <w:left w:val="none" w:sz="0" w:space="0" w:color="auto"/>
            <w:bottom w:val="none" w:sz="0" w:space="0" w:color="auto"/>
            <w:right w:val="none" w:sz="0" w:space="0" w:color="auto"/>
          </w:divBdr>
        </w:div>
        <w:div w:id="925042919">
          <w:marLeft w:val="0"/>
          <w:marRight w:val="0"/>
          <w:marTop w:val="0"/>
          <w:marBottom w:val="0"/>
          <w:divBdr>
            <w:top w:val="none" w:sz="0" w:space="0" w:color="auto"/>
            <w:left w:val="none" w:sz="0" w:space="0" w:color="auto"/>
            <w:bottom w:val="none" w:sz="0" w:space="0" w:color="auto"/>
            <w:right w:val="none" w:sz="0" w:space="0" w:color="auto"/>
          </w:divBdr>
        </w:div>
        <w:div w:id="366758930">
          <w:marLeft w:val="0"/>
          <w:marRight w:val="0"/>
          <w:marTop w:val="0"/>
          <w:marBottom w:val="0"/>
          <w:divBdr>
            <w:top w:val="none" w:sz="0" w:space="0" w:color="auto"/>
            <w:left w:val="none" w:sz="0" w:space="0" w:color="auto"/>
            <w:bottom w:val="none" w:sz="0" w:space="0" w:color="auto"/>
            <w:right w:val="none" w:sz="0" w:space="0" w:color="auto"/>
          </w:divBdr>
        </w:div>
        <w:div w:id="1616598833">
          <w:marLeft w:val="0"/>
          <w:marRight w:val="0"/>
          <w:marTop w:val="0"/>
          <w:marBottom w:val="0"/>
          <w:divBdr>
            <w:top w:val="none" w:sz="0" w:space="0" w:color="auto"/>
            <w:left w:val="none" w:sz="0" w:space="0" w:color="auto"/>
            <w:bottom w:val="none" w:sz="0" w:space="0" w:color="auto"/>
            <w:right w:val="none" w:sz="0" w:space="0" w:color="auto"/>
          </w:divBdr>
        </w:div>
        <w:div w:id="584801434">
          <w:marLeft w:val="0"/>
          <w:marRight w:val="0"/>
          <w:marTop w:val="0"/>
          <w:marBottom w:val="0"/>
          <w:divBdr>
            <w:top w:val="none" w:sz="0" w:space="0" w:color="auto"/>
            <w:left w:val="none" w:sz="0" w:space="0" w:color="auto"/>
            <w:bottom w:val="none" w:sz="0" w:space="0" w:color="auto"/>
            <w:right w:val="none" w:sz="0" w:space="0" w:color="auto"/>
          </w:divBdr>
        </w:div>
        <w:div w:id="418528364">
          <w:marLeft w:val="0"/>
          <w:marRight w:val="0"/>
          <w:marTop w:val="0"/>
          <w:marBottom w:val="0"/>
          <w:divBdr>
            <w:top w:val="none" w:sz="0" w:space="0" w:color="auto"/>
            <w:left w:val="none" w:sz="0" w:space="0" w:color="auto"/>
            <w:bottom w:val="none" w:sz="0" w:space="0" w:color="auto"/>
            <w:right w:val="none" w:sz="0" w:space="0" w:color="auto"/>
          </w:divBdr>
        </w:div>
        <w:div w:id="261379956">
          <w:marLeft w:val="0"/>
          <w:marRight w:val="0"/>
          <w:marTop w:val="0"/>
          <w:marBottom w:val="0"/>
          <w:divBdr>
            <w:top w:val="none" w:sz="0" w:space="0" w:color="auto"/>
            <w:left w:val="none" w:sz="0" w:space="0" w:color="auto"/>
            <w:bottom w:val="none" w:sz="0" w:space="0" w:color="auto"/>
            <w:right w:val="none" w:sz="0" w:space="0" w:color="auto"/>
          </w:divBdr>
        </w:div>
        <w:div w:id="665475015">
          <w:marLeft w:val="0"/>
          <w:marRight w:val="0"/>
          <w:marTop w:val="0"/>
          <w:marBottom w:val="0"/>
          <w:divBdr>
            <w:top w:val="none" w:sz="0" w:space="0" w:color="auto"/>
            <w:left w:val="none" w:sz="0" w:space="0" w:color="auto"/>
            <w:bottom w:val="none" w:sz="0" w:space="0" w:color="auto"/>
            <w:right w:val="none" w:sz="0" w:space="0" w:color="auto"/>
          </w:divBdr>
        </w:div>
        <w:div w:id="215316640">
          <w:marLeft w:val="0"/>
          <w:marRight w:val="0"/>
          <w:marTop w:val="0"/>
          <w:marBottom w:val="0"/>
          <w:divBdr>
            <w:top w:val="none" w:sz="0" w:space="0" w:color="auto"/>
            <w:left w:val="none" w:sz="0" w:space="0" w:color="auto"/>
            <w:bottom w:val="none" w:sz="0" w:space="0" w:color="auto"/>
            <w:right w:val="none" w:sz="0" w:space="0" w:color="auto"/>
          </w:divBdr>
        </w:div>
        <w:div w:id="1044645391">
          <w:marLeft w:val="0"/>
          <w:marRight w:val="0"/>
          <w:marTop w:val="0"/>
          <w:marBottom w:val="0"/>
          <w:divBdr>
            <w:top w:val="none" w:sz="0" w:space="0" w:color="auto"/>
            <w:left w:val="none" w:sz="0" w:space="0" w:color="auto"/>
            <w:bottom w:val="none" w:sz="0" w:space="0" w:color="auto"/>
            <w:right w:val="none" w:sz="0" w:space="0" w:color="auto"/>
          </w:divBdr>
        </w:div>
        <w:div w:id="1319073">
          <w:marLeft w:val="0"/>
          <w:marRight w:val="0"/>
          <w:marTop w:val="0"/>
          <w:marBottom w:val="0"/>
          <w:divBdr>
            <w:top w:val="none" w:sz="0" w:space="0" w:color="auto"/>
            <w:left w:val="none" w:sz="0" w:space="0" w:color="auto"/>
            <w:bottom w:val="none" w:sz="0" w:space="0" w:color="auto"/>
            <w:right w:val="none" w:sz="0" w:space="0" w:color="auto"/>
          </w:divBdr>
        </w:div>
        <w:div w:id="1181628660">
          <w:marLeft w:val="0"/>
          <w:marRight w:val="0"/>
          <w:marTop w:val="0"/>
          <w:marBottom w:val="0"/>
          <w:divBdr>
            <w:top w:val="none" w:sz="0" w:space="0" w:color="auto"/>
            <w:left w:val="none" w:sz="0" w:space="0" w:color="auto"/>
            <w:bottom w:val="none" w:sz="0" w:space="0" w:color="auto"/>
            <w:right w:val="none" w:sz="0" w:space="0" w:color="auto"/>
          </w:divBdr>
        </w:div>
        <w:div w:id="211814952">
          <w:marLeft w:val="0"/>
          <w:marRight w:val="0"/>
          <w:marTop w:val="0"/>
          <w:marBottom w:val="0"/>
          <w:divBdr>
            <w:top w:val="none" w:sz="0" w:space="0" w:color="auto"/>
            <w:left w:val="none" w:sz="0" w:space="0" w:color="auto"/>
            <w:bottom w:val="none" w:sz="0" w:space="0" w:color="auto"/>
            <w:right w:val="none" w:sz="0" w:space="0" w:color="auto"/>
          </w:divBdr>
        </w:div>
        <w:div w:id="846869754">
          <w:marLeft w:val="0"/>
          <w:marRight w:val="0"/>
          <w:marTop w:val="0"/>
          <w:marBottom w:val="0"/>
          <w:divBdr>
            <w:top w:val="none" w:sz="0" w:space="0" w:color="auto"/>
            <w:left w:val="none" w:sz="0" w:space="0" w:color="auto"/>
            <w:bottom w:val="none" w:sz="0" w:space="0" w:color="auto"/>
            <w:right w:val="none" w:sz="0" w:space="0" w:color="auto"/>
          </w:divBdr>
        </w:div>
        <w:div w:id="1656448375">
          <w:marLeft w:val="0"/>
          <w:marRight w:val="0"/>
          <w:marTop w:val="0"/>
          <w:marBottom w:val="0"/>
          <w:divBdr>
            <w:top w:val="none" w:sz="0" w:space="0" w:color="auto"/>
            <w:left w:val="none" w:sz="0" w:space="0" w:color="auto"/>
            <w:bottom w:val="none" w:sz="0" w:space="0" w:color="auto"/>
            <w:right w:val="none" w:sz="0" w:space="0" w:color="auto"/>
          </w:divBdr>
        </w:div>
        <w:div w:id="689382592">
          <w:marLeft w:val="0"/>
          <w:marRight w:val="0"/>
          <w:marTop w:val="0"/>
          <w:marBottom w:val="0"/>
          <w:divBdr>
            <w:top w:val="none" w:sz="0" w:space="0" w:color="auto"/>
            <w:left w:val="none" w:sz="0" w:space="0" w:color="auto"/>
            <w:bottom w:val="none" w:sz="0" w:space="0" w:color="auto"/>
            <w:right w:val="none" w:sz="0" w:space="0" w:color="auto"/>
          </w:divBdr>
        </w:div>
        <w:div w:id="1932658887">
          <w:marLeft w:val="0"/>
          <w:marRight w:val="0"/>
          <w:marTop w:val="0"/>
          <w:marBottom w:val="0"/>
          <w:divBdr>
            <w:top w:val="none" w:sz="0" w:space="0" w:color="auto"/>
            <w:left w:val="none" w:sz="0" w:space="0" w:color="auto"/>
            <w:bottom w:val="none" w:sz="0" w:space="0" w:color="auto"/>
            <w:right w:val="none" w:sz="0" w:space="0" w:color="auto"/>
          </w:divBdr>
        </w:div>
        <w:div w:id="1301152041">
          <w:marLeft w:val="0"/>
          <w:marRight w:val="0"/>
          <w:marTop w:val="0"/>
          <w:marBottom w:val="0"/>
          <w:divBdr>
            <w:top w:val="none" w:sz="0" w:space="0" w:color="auto"/>
            <w:left w:val="none" w:sz="0" w:space="0" w:color="auto"/>
            <w:bottom w:val="none" w:sz="0" w:space="0" w:color="auto"/>
            <w:right w:val="none" w:sz="0" w:space="0" w:color="auto"/>
          </w:divBdr>
        </w:div>
        <w:div w:id="362905418">
          <w:marLeft w:val="0"/>
          <w:marRight w:val="0"/>
          <w:marTop w:val="0"/>
          <w:marBottom w:val="0"/>
          <w:divBdr>
            <w:top w:val="none" w:sz="0" w:space="0" w:color="auto"/>
            <w:left w:val="none" w:sz="0" w:space="0" w:color="auto"/>
            <w:bottom w:val="none" w:sz="0" w:space="0" w:color="auto"/>
            <w:right w:val="none" w:sz="0" w:space="0" w:color="auto"/>
          </w:divBdr>
        </w:div>
        <w:div w:id="1964576799">
          <w:marLeft w:val="0"/>
          <w:marRight w:val="0"/>
          <w:marTop w:val="0"/>
          <w:marBottom w:val="0"/>
          <w:divBdr>
            <w:top w:val="none" w:sz="0" w:space="0" w:color="auto"/>
            <w:left w:val="none" w:sz="0" w:space="0" w:color="auto"/>
            <w:bottom w:val="none" w:sz="0" w:space="0" w:color="auto"/>
            <w:right w:val="none" w:sz="0" w:space="0" w:color="auto"/>
          </w:divBdr>
        </w:div>
        <w:div w:id="2064863407">
          <w:marLeft w:val="0"/>
          <w:marRight w:val="0"/>
          <w:marTop w:val="0"/>
          <w:marBottom w:val="0"/>
          <w:divBdr>
            <w:top w:val="none" w:sz="0" w:space="0" w:color="auto"/>
            <w:left w:val="none" w:sz="0" w:space="0" w:color="auto"/>
            <w:bottom w:val="none" w:sz="0" w:space="0" w:color="auto"/>
            <w:right w:val="none" w:sz="0" w:space="0" w:color="auto"/>
          </w:divBdr>
        </w:div>
        <w:div w:id="1715154450">
          <w:marLeft w:val="0"/>
          <w:marRight w:val="0"/>
          <w:marTop w:val="0"/>
          <w:marBottom w:val="0"/>
          <w:divBdr>
            <w:top w:val="none" w:sz="0" w:space="0" w:color="auto"/>
            <w:left w:val="none" w:sz="0" w:space="0" w:color="auto"/>
            <w:bottom w:val="none" w:sz="0" w:space="0" w:color="auto"/>
            <w:right w:val="none" w:sz="0" w:space="0" w:color="auto"/>
          </w:divBdr>
        </w:div>
        <w:div w:id="174657253">
          <w:marLeft w:val="0"/>
          <w:marRight w:val="0"/>
          <w:marTop w:val="0"/>
          <w:marBottom w:val="0"/>
          <w:divBdr>
            <w:top w:val="none" w:sz="0" w:space="0" w:color="auto"/>
            <w:left w:val="none" w:sz="0" w:space="0" w:color="auto"/>
            <w:bottom w:val="none" w:sz="0" w:space="0" w:color="auto"/>
            <w:right w:val="none" w:sz="0" w:space="0" w:color="auto"/>
          </w:divBdr>
        </w:div>
        <w:div w:id="2055541317">
          <w:marLeft w:val="0"/>
          <w:marRight w:val="0"/>
          <w:marTop w:val="0"/>
          <w:marBottom w:val="0"/>
          <w:divBdr>
            <w:top w:val="none" w:sz="0" w:space="0" w:color="auto"/>
            <w:left w:val="none" w:sz="0" w:space="0" w:color="auto"/>
            <w:bottom w:val="none" w:sz="0" w:space="0" w:color="auto"/>
            <w:right w:val="none" w:sz="0" w:space="0" w:color="auto"/>
          </w:divBdr>
        </w:div>
        <w:div w:id="2040809840">
          <w:marLeft w:val="0"/>
          <w:marRight w:val="0"/>
          <w:marTop w:val="0"/>
          <w:marBottom w:val="0"/>
          <w:divBdr>
            <w:top w:val="none" w:sz="0" w:space="0" w:color="auto"/>
            <w:left w:val="none" w:sz="0" w:space="0" w:color="auto"/>
            <w:bottom w:val="none" w:sz="0" w:space="0" w:color="auto"/>
            <w:right w:val="none" w:sz="0" w:space="0" w:color="auto"/>
          </w:divBdr>
        </w:div>
        <w:div w:id="1881278887">
          <w:marLeft w:val="0"/>
          <w:marRight w:val="0"/>
          <w:marTop w:val="0"/>
          <w:marBottom w:val="0"/>
          <w:divBdr>
            <w:top w:val="none" w:sz="0" w:space="0" w:color="auto"/>
            <w:left w:val="none" w:sz="0" w:space="0" w:color="auto"/>
            <w:bottom w:val="none" w:sz="0" w:space="0" w:color="auto"/>
            <w:right w:val="none" w:sz="0" w:space="0" w:color="auto"/>
          </w:divBdr>
        </w:div>
        <w:div w:id="1133063826">
          <w:marLeft w:val="0"/>
          <w:marRight w:val="0"/>
          <w:marTop w:val="0"/>
          <w:marBottom w:val="0"/>
          <w:divBdr>
            <w:top w:val="none" w:sz="0" w:space="0" w:color="auto"/>
            <w:left w:val="none" w:sz="0" w:space="0" w:color="auto"/>
            <w:bottom w:val="none" w:sz="0" w:space="0" w:color="auto"/>
            <w:right w:val="none" w:sz="0" w:space="0" w:color="auto"/>
          </w:divBdr>
        </w:div>
        <w:div w:id="1020160252">
          <w:marLeft w:val="0"/>
          <w:marRight w:val="0"/>
          <w:marTop w:val="0"/>
          <w:marBottom w:val="0"/>
          <w:divBdr>
            <w:top w:val="none" w:sz="0" w:space="0" w:color="auto"/>
            <w:left w:val="none" w:sz="0" w:space="0" w:color="auto"/>
            <w:bottom w:val="none" w:sz="0" w:space="0" w:color="auto"/>
            <w:right w:val="none" w:sz="0" w:space="0" w:color="auto"/>
          </w:divBdr>
        </w:div>
        <w:div w:id="891161482">
          <w:marLeft w:val="0"/>
          <w:marRight w:val="0"/>
          <w:marTop w:val="0"/>
          <w:marBottom w:val="0"/>
          <w:divBdr>
            <w:top w:val="none" w:sz="0" w:space="0" w:color="auto"/>
            <w:left w:val="none" w:sz="0" w:space="0" w:color="auto"/>
            <w:bottom w:val="none" w:sz="0" w:space="0" w:color="auto"/>
            <w:right w:val="none" w:sz="0" w:space="0" w:color="auto"/>
          </w:divBdr>
        </w:div>
        <w:div w:id="826288647">
          <w:marLeft w:val="0"/>
          <w:marRight w:val="0"/>
          <w:marTop w:val="0"/>
          <w:marBottom w:val="0"/>
          <w:divBdr>
            <w:top w:val="none" w:sz="0" w:space="0" w:color="auto"/>
            <w:left w:val="none" w:sz="0" w:space="0" w:color="auto"/>
            <w:bottom w:val="none" w:sz="0" w:space="0" w:color="auto"/>
            <w:right w:val="none" w:sz="0" w:space="0" w:color="auto"/>
          </w:divBdr>
        </w:div>
        <w:div w:id="1938245490">
          <w:marLeft w:val="0"/>
          <w:marRight w:val="0"/>
          <w:marTop w:val="0"/>
          <w:marBottom w:val="0"/>
          <w:divBdr>
            <w:top w:val="none" w:sz="0" w:space="0" w:color="auto"/>
            <w:left w:val="none" w:sz="0" w:space="0" w:color="auto"/>
            <w:bottom w:val="none" w:sz="0" w:space="0" w:color="auto"/>
            <w:right w:val="none" w:sz="0" w:space="0" w:color="auto"/>
          </w:divBdr>
        </w:div>
        <w:div w:id="246571720">
          <w:marLeft w:val="0"/>
          <w:marRight w:val="0"/>
          <w:marTop w:val="0"/>
          <w:marBottom w:val="0"/>
          <w:divBdr>
            <w:top w:val="none" w:sz="0" w:space="0" w:color="auto"/>
            <w:left w:val="none" w:sz="0" w:space="0" w:color="auto"/>
            <w:bottom w:val="none" w:sz="0" w:space="0" w:color="auto"/>
            <w:right w:val="none" w:sz="0" w:space="0" w:color="auto"/>
          </w:divBdr>
        </w:div>
        <w:div w:id="644547374">
          <w:marLeft w:val="0"/>
          <w:marRight w:val="0"/>
          <w:marTop w:val="0"/>
          <w:marBottom w:val="0"/>
          <w:divBdr>
            <w:top w:val="none" w:sz="0" w:space="0" w:color="auto"/>
            <w:left w:val="none" w:sz="0" w:space="0" w:color="auto"/>
            <w:bottom w:val="none" w:sz="0" w:space="0" w:color="auto"/>
            <w:right w:val="none" w:sz="0" w:space="0" w:color="auto"/>
          </w:divBdr>
        </w:div>
        <w:div w:id="249120025">
          <w:marLeft w:val="0"/>
          <w:marRight w:val="0"/>
          <w:marTop w:val="0"/>
          <w:marBottom w:val="0"/>
          <w:divBdr>
            <w:top w:val="none" w:sz="0" w:space="0" w:color="auto"/>
            <w:left w:val="none" w:sz="0" w:space="0" w:color="auto"/>
            <w:bottom w:val="none" w:sz="0" w:space="0" w:color="auto"/>
            <w:right w:val="none" w:sz="0" w:space="0" w:color="auto"/>
          </w:divBdr>
        </w:div>
        <w:div w:id="1665351697">
          <w:marLeft w:val="0"/>
          <w:marRight w:val="0"/>
          <w:marTop w:val="0"/>
          <w:marBottom w:val="0"/>
          <w:divBdr>
            <w:top w:val="none" w:sz="0" w:space="0" w:color="auto"/>
            <w:left w:val="none" w:sz="0" w:space="0" w:color="auto"/>
            <w:bottom w:val="none" w:sz="0" w:space="0" w:color="auto"/>
            <w:right w:val="none" w:sz="0" w:space="0" w:color="auto"/>
          </w:divBdr>
        </w:div>
        <w:div w:id="1901282319">
          <w:marLeft w:val="0"/>
          <w:marRight w:val="0"/>
          <w:marTop w:val="0"/>
          <w:marBottom w:val="0"/>
          <w:divBdr>
            <w:top w:val="none" w:sz="0" w:space="0" w:color="auto"/>
            <w:left w:val="none" w:sz="0" w:space="0" w:color="auto"/>
            <w:bottom w:val="none" w:sz="0" w:space="0" w:color="auto"/>
            <w:right w:val="none" w:sz="0" w:space="0" w:color="auto"/>
          </w:divBdr>
        </w:div>
        <w:div w:id="286282793">
          <w:marLeft w:val="0"/>
          <w:marRight w:val="0"/>
          <w:marTop w:val="0"/>
          <w:marBottom w:val="0"/>
          <w:divBdr>
            <w:top w:val="none" w:sz="0" w:space="0" w:color="auto"/>
            <w:left w:val="none" w:sz="0" w:space="0" w:color="auto"/>
            <w:bottom w:val="none" w:sz="0" w:space="0" w:color="auto"/>
            <w:right w:val="none" w:sz="0" w:space="0" w:color="auto"/>
          </w:divBdr>
        </w:div>
        <w:div w:id="1388911992">
          <w:marLeft w:val="0"/>
          <w:marRight w:val="0"/>
          <w:marTop w:val="0"/>
          <w:marBottom w:val="0"/>
          <w:divBdr>
            <w:top w:val="none" w:sz="0" w:space="0" w:color="auto"/>
            <w:left w:val="none" w:sz="0" w:space="0" w:color="auto"/>
            <w:bottom w:val="none" w:sz="0" w:space="0" w:color="auto"/>
            <w:right w:val="none" w:sz="0" w:space="0" w:color="auto"/>
          </w:divBdr>
        </w:div>
        <w:div w:id="475531482">
          <w:marLeft w:val="0"/>
          <w:marRight w:val="0"/>
          <w:marTop w:val="0"/>
          <w:marBottom w:val="0"/>
          <w:divBdr>
            <w:top w:val="none" w:sz="0" w:space="0" w:color="auto"/>
            <w:left w:val="none" w:sz="0" w:space="0" w:color="auto"/>
            <w:bottom w:val="none" w:sz="0" w:space="0" w:color="auto"/>
            <w:right w:val="none" w:sz="0" w:space="0" w:color="auto"/>
          </w:divBdr>
        </w:div>
        <w:div w:id="471219873">
          <w:marLeft w:val="0"/>
          <w:marRight w:val="0"/>
          <w:marTop w:val="0"/>
          <w:marBottom w:val="0"/>
          <w:divBdr>
            <w:top w:val="none" w:sz="0" w:space="0" w:color="auto"/>
            <w:left w:val="none" w:sz="0" w:space="0" w:color="auto"/>
            <w:bottom w:val="none" w:sz="0" w:space="0" w:color="auto"/>
            <w:right w:val="none" w:sz="0" w:space="0" w:color="auto"/>
          </w:divBdr>
        </w:div>
        <w:div w:id="973485704">
          <w:marLeft w:val="0"/>
          <w:marRight w:val="0"/>
          <w:marTop w:val="0"/>
          <w:marBottom w:val="0"/>
          <w:divBdr>
            <w:top w:val="none" w:sz="0" w:space="0" w:color="auto"/>
            <w:left w:val="none" w:sz="0" w:space="0" w:color="auto"/>
            <w:bottom w:val="none" w:sz="0" w:space="0" w:color="auto"/>
            <w:right w:val="none" w:sz="0" w:space="0" w:color="auto"/>
          </w:divBdr>
        </w:div>
      </w:divsChild>
    </w:div>
    <w:div w:id="578752171">
      <w:bodyDiv w:val="1"/>
      <w:marLeft w:val="0"/>
      <w:marRight w:val="0"/>
      <w:marTop w:val="0"/>
      <w:marBottom w:val="0"/>
      <w:divBdr>
        <w:top w:val="none" w:sz="0" w:space="0" w:color="auto"/>
        <w:left w:val="none" w:sz="0" w:space="0" w:color="auto"/>
        <w:bottom w:val="none" w:sz="0" w:space="0" w:color="auto"/>
        <w:right w:val="none" w:sz="0" w:space="0" w:color="auto"/>
      </w:divBdr>
      <w:divsChild>
        <w:div w:id="457574154">
          <w:marLeft w:val="0"/>
          <w:marRight w:val="0"/>
          <w:marTop w:val="0"/>
          <w:marBottom w:val="0"/>
          <w:divBdr>
            <w:top w:val="none" w:sz="0" w:space="0" w:color="auto"/>
            <w:left w:val="none" w:sz="0" w:space="0" w:color="auto"/>
            <w:bottom w:val="none" w:sz="0" w:space="0" w:color="auto"/>
            <w:right w:val="none" w:sz="0" w:space="0" w:color="auto"/>
          </w:divBdr>
        </w:div>
        <w:div w:id="461264285">
          <w:marLeft w:val="0"/>
          <w:marRight w:val="0"/>
          <w:marTop w:val="0"/>
          <w:marBottom w:val="0"/>
          <w:divBdr>
            <w:top w:val="none" w:sz="0" w:space="0" w:color="auto"/>
            <w:left w:val="none" w:sz="0" w:space="0" w:color="auto"/>
            <w:bottom w:val="none" w:sz="0" w:space="0" w:color="auto"/>
            <w:right w:val="none" w:sz="0" w:space="0" w:color="auto"/>
          </w:divBdr>
        </w:div>
      </w:divsChild>
    </w:div>
    <w:div w:id="1032194206">
      <w:bodyDiv w:val="1"/>
      <w:marLeft w:val="0"/>
      <w:marRight w:val="0"/>
      <w:marTop w:val="0"/>
      <w:marBottom w:val="0"/>
      <w:divBdr>
        <w:top w:val="none" w:sz="0" w:space="0" w:color="auto"/>
        <w:left w:val="none" w:sz="0" w:space="0" w:color="auto"/>
        <w:bottom w:val="none" w:sz="0" w:space="0" w:color="auto"/>
        <w:right w:val="none" w:sz="0" w:space="0" w:color="auto"/>
      </w:divBdr>
      <w:divsChild>
        <w:div w:id="1149522260">
          <w:marLeft w:val="0"/>
          <w:marRight w:val="0"/>
          <w:marTop w:val="0"/>
          <w:marBottom w:val="0"/>
          <w:divBdr>
            <w:top w:val="none" w:sz="0" w:space="0" w:color="auto"/>
            <w:left w:val="none" w:sz="0" w:space="0" w:color="auto"/>
            <w:bottom w:val="none" w:sz="0" w:space="0" w:color="auto"/>
            <w:right w:val="none" w:sz="0" w:space="0" w:color="auto"/>
          </w:divBdr>
        </w:div>
      </w:divsChild>
    </w:div>
    <w:div w:id="1368602467">
      <w:bodyDiv w:val="1"/>
      <w:marLeft w:val="0"/>
      <w:marRight w:val="0"/>
      <w:marTop w:val="0"/>
      <w:marBottom w:val="0"/>
      <w:divBdr>
        <w:top w:val="none" w:sz="0" w:space="0" w:color="auto"/>
        <w:left w:val="none" w:sz="0" w:space="0" w:color="auto"/>
        <w:bottom w:val="none" w:sz="0" w:space="0" w:color="auto"/>
        <w:right w:val="none" w:sz="0" w:space="0" w:color="auto"/>
      </w:divBdr>
      <w:divsChild>
        <w:div w:id="1060515086">
          <w:marLeft w:val="0"/>
          <w:marRight w:val="0"/>
          <w:marTop w:val="0"/>
          <w:marBottom w:val="0"/>
          <w:divBdr>
            <w:top w:val="none" w:sz="0" w:space="0" w:color="auto"/>
            <w:left w:val="none" w:sz="0" w:space="0" w:color="auto"/>
            <w:bottom w:val="none" w:sz="0" w:space="0" w:color="auto"/>
            <w:right w:val="none" w:sz="0" w:space="0" w:color="auto"/>
          </w:divBdr>
        </w:div>
      </w:divsChild>
    </w:div>
    <w:div w:id="1493178752">
      <w:bodyDiv w:val="1"/>
      <w:marLeft w:val="0"/>
      <w:marRight w:val="0"/>
      <w:marTop w:val="0"/>
      <w:marBottom w:val="0"/>
      <w:divBdr>
        <w:top w:val="none" w:sz="0" w:space="0" w:color="auto"/>
        <w:left w:val="none" w:sz="0" w:space="0" w:color="auto"/>
        <w:bottom w:val="none" w:sz="0" w:space="0" w:color="auto"/>
        <w:right w:val="none" w:sz="0" w:space="0" w:color="auto"/>
      </w:divBdr>
      <w:divsChild>
        <w:div w:id="144442424">
          <w:marLeft w:val="0"/>
          <w:marRight w:val="0"/>
          <w:marTop w:val="0"/>
          <w:marBottom w:val="0"/>
          <w:divBdr>
            <w:top w:val="none" w:sz="0" w:space="0" w:color="auto"/>
            <w:left w:val="none" w:sz="0" w:space="0" w:color="auto"/>
            <w:bottom w:val="none" w:sz="0" w:space="0" w:color="auto"/>
            <w:right w:val="none" w:sz="0" w:space="0" w:color="auto"/>
          </w:divBdr>
        </w:div>
        <w:div w:id="1684895916">
          <w:marLeft w:val="0"/>
          <w:marRight w:val="0"/>
          <w:marTop w:val="0"/>
          <w:marBottom w:val="0"/>
          <w:divBdr>
            <w:top w:val="none" w:sz="0" w:space="0" w:color="auto"/>
            <w:left w:val="none" w:sz="0" w:space="0" w:color="auto"/>
            <w:bottom w:val="none" w:sz="0" w:space="0" w:color="auto"/>
            <w:right w:val="none" w:sz="0" w:space="0" w:color="auto"/>
          </w:divBdr>
        </w:div>
        <w:div w:id="2062359577">
          <w:marLeft w:val="0"/>
          <w:marRight w:val="0"/>
          <w:marTop w:val="0"/>
          <w:marBottom w:val="0"/>
          <w:divBdr>
            <w:top w:val="none" w:sz="0" w:space="0" w:color="auto"/>
            <w:left w:val="none" w:sz="0" w:space="0" w:color="auto"/>
            <w:bottom w:val="none" w:sz="0" w:space="0" w:color="auto"/>
            <w:right w:val="none" w:sz="0" w:space="0" w:color="auto"/>
          </w:divBdr>
        </w:div>
        <w:div w:id="2074311433">
          <w:marLeft w:val="0"/>
          <w:marRight w:val="0"/>
          <w:marTop w:val="0"/>
          <w:marBottom w:val="0"/>
          <w:divBdr>
            <w:top w:val="none" w:sz="0" w:space="0" w:color="auto"/>
            <w:left w:val="none" w:sz="0" w:space="0" w:color="auto"/>
            <w:bottom w:val="none" w:sz="0" w:space="0" w:color="auto"/>
            <w:right w:val="none" w:sz="0" w:space="0" w:color="auto"/>
          </w:divBdr>
        </w:div>
        <w:div w:id="1115905696">
          <w:marLeft w:val="0"/>
          <w:marRight w:val="0"/>
          <w:marTop w:val="0"/>
          <w:marBottom w:val="0"/>
          <w:divBdr>
            <w:top w:val="none" w:sz="0" w:space="0" w:color="auto"/>
            <w:left w:val="none" w:sz="0" w:space="0" w:color="auto"/>
            <w:bottom w:val="none" w:sz="0" w:space="0" w:color="auto"/>
            <w:right w:val="none" w:sz="0" w:space="0" w:color="auto"/>
          </w:divBdr>
        </w:div>
        <w:div w:id="826483491">
          <w:marLeft w:val="0"/>
          <w:marRight w:val="0"/>
          <w:marTop w:val="0"/>
          <w:marBottom w:val="0"/>
          <w:divBdr>
            <w:top w:val="none" w:sz="0" w:space="0" w:color="auto"/>
            <w:left w:val="none" w:sz="0" w:space="0" w:color="auto"/>
            <w:bottom w:val="none" w:sz="0" w:space="0" w:color="auto"/>
            <w:right w:val="none" w:sz="0" w:space="0" w:color="auto"/>
          </w:divBdr>
        </w:div>
        <w:div w:id="359016931">
          <w:marLeft w:val="0"/>
          <w:marRight w:val="0"/>
          <w:marTop w:val="0"/>
          <w:marBottom w:val="0"/>
          <w:divBdr>
            <w:top w:val="none" w:sz="0" w:space="0" w:color="auto"/>
            <w:left w:val="none" w:sz="0" w:space="0" w:color="auto"/>
            <w:bottom w:val="none" w:sz="0" w:space="0" w:color="auto"/>
            <w:right w:val="none" w:sz="0" w:space="0" w:color="auto"/>
          </w:divBdr>
        </w:div>
        <w:div w:id="2096196162">
          <w:marLeft w:val="0"/>
          <w:marRight w:val="0"/>
          <w:marTop w:val="0"/>
          <w:marBottom w:val="0"/>
          <w:divBdr>
            <w:top w:val="none" w:sz="0" w:space="0" w:color="auto"/>
            <w:left w:val="none" w:sz="0" w:space="0" w:color="auto"/>
            <w:bottom w:val="none" w:sz="0" w:space="0" w:color="auto"/>
            <w:right w:val="none" w:sz="0" w:space="0" w:color="auto"/>
          </w:divBdr>
        </w:div>
        <w:div w:id="177233505">
          <w:marLeft w:val="0"/>
          <w:marRight w:val="0"/>
          <w:marTop w:val="0"/>
          <w:marBottom w:val="0"/>
          <w:divBdr>
            <w:top w:val="none" w:sz="0" w:space="0" w:color="auto"/>
            <w:left w:val="none" w:sz="0" w:space="0" w:color="auto"/>
            <w:bottom w:val="none" w:sz="0" w:space="0" w:color="auto"/>
            <w:right w:val="none" w:sz="0" w:space="0" w:color="auto"/>
          </w:divBdr>
        </w:div>
        <w:div w:id="1325281702">
          <w:marLeft w:val="0"/>
          <w:marRight w:val="0"/>
          <w:marTop w:val="0"/>
          <w:marBottom w:val="0"/>
          <w:divBdr>
            <w:top w:val="none" w:sz="0" w:space="0" w:color="auto"/>
            <w:left w:val="none" w:sz="0" w:space="0" w:color="auto"/>
            <w:bottom w:val="none" w:sz="0" w:space="0" w:color="auto"/>
            <w:right w:val="none" w:sz="0" w:space="0" w:color="auto"/>
          </w:divBdr>
        </w:div>
        <w:div w:id="1432897049">
          <w:marLeft w:val="0"/>
          <w:marRight w:val="0"/>
          <w:marTop w:val="0"/>
          <w:marBottom w:val="0"/>
          <w:divBdr>
            <w:top w:val="none" w:sz="0" w:space="0" w:color="auto"/>
            <w:left w:val="none" w:sz="0" w:space="0" w:color="auto"/>
            <w:bottom w:val="none" w:sz="0" w:space="0" w:color="auto"/>
            <w:right w:val="none" w:sz="0" w:space="0" w:color="auto"/>
          </w:divBdr>
        </w:div>
        <w:div w:id="1506824284">
          <w:marLeft w:val="0"/>
          <w:marRight w:val="0"/>
          <w:marTop w:val="0"/>
          <w:marBottom w:val="0"/>
          <w:divBdr>
            <w:top w:val="none" w:sz="0" w:space="0" w:color="auto"/>
            <w:left w:val="none" w:sz="0" w:space="0" w:color="auto"/>
            <w:bottom w:val="none" w:sz="0" w:space="0" w:color="auto"/>
            <w:right w:val="none" w:sz="0" w:space="0" w:color="auto"/>
          </w:divBdr>
        </w:div>
        <w:div w:id="1879976453">
          <w:marLeft w:val="0"/>
          <w:marRight w:val="0"/>
          <w:marTop w:val="0"/>
          <w:marBottom w:val="0"/>
          <w:divBdr>
            <w:top w:val="none" w:sz="0" w:space="0" w:color="auto"/>
            <w:left w:val="none" w:sz="0" w:space="0" w:color="auto"/>
            <w:bottom w:val="none" w:sz="0" w:space="0" w:color="auto"/>
            <w:right w:val="none" w:sz="0" w:space="0" w:color="auto"/>
          </w:divBdr>
        </w:div>
        <w:div w:id="368145948">
          <w:marLeft w:val="0"/>
          <w:marRight w:val="0"/>
          <w:marTop w:val="0"/>
          <w:marBottom w:val="0"/>
          <w:divBdr>
            <w:top w:val="none" w:sz="0" w:space="0" w:color="auto"/>
            <w:left w:val="none" w:sz="0" w:space="0" w:color="auto"/>
            <w:bottom w:val="none" w:sz="0" w:space="0" w:color="auto"/>
            <w:right w:val="none" w:sz="0" w:space="0" w:color="auto"/>
          </w:divBdr>
        </w:div>
        <w:div w:id="1059745970">
          <w:marLeft w:val="0"/>
          <w:marRight w:val="0"/>
          <w:marTop w:val="0"/>
          <w:marBottom w:val="0"/>
          <w:divBdr>
            <w:top w:val="none" w:sz="0" w:space="0" w:color="auto"/>
            <w:left w:val="none" w:sz="0" w:space="0" w:color="auto"/>
            <w:bottom w:val="none" w:sz="0" w:space="0" w:color="auto"/>
            <w:right w:val="none" w:sz="0" w:space="0" w:color="auto"/>
          </w:divBdr>
        </w:div>
        <w:div w:id="108748191">
          <w:marLeft w:val="0"/>
          <w:marRight w:val="0"/>
          <w:marTop w:val="0"/>
          <w:marBottom w:val="0"/>
          <w:divBdr>
            <w:top w:val="none" w:sz="0" w:space="0" w:color="auto"/>
            <w:left w:val="none" w:sz="0" w:space="0" w:color="auto"/>
            <w:bottom w:val="none" w:sz="0" w:space="0" w:color="auto"/>
            <w:right w:val="none" w:sz="0" w:space="0" w:color="auto"/>
          </w:divBdr>
        </w:div>
        <w:div w:id="1271625497">
          <w:marLeft w:val="0"/>
          <w:marRight w:val="0"/>
          <w:marTop w:val="0"/>
          <w:marBottom w:val="0"/>
          <w:divBdr>
            <w:top w:val="none" w:sz="0" w:space="0" w:color="auto"/>
            <w:left w:val="none" w:sz="0" w:space="0" w:color="auto"/>
            <w:bottom w:val="none" w:sz="0" w:space="0" w:color="auto"/>
            <w:right w:val="none" w:sz="0" w:space="0" w:color="auto"/>
          </w:divBdr>
        </w:div>
        <w:div w:id="710881629">
          <w:marLeft w:val="0"/>
          <w:marRight w:val="0"/>
          <w:marTop w:val="0"/>
          <w:marBottom w:val="0"/>
          <w:divBdr>
            <w:top w:val="none" w:sz="0" w:space="0" w:color="auto"/>
            <w:left w:val="none" w:sz="0" w:space="0" w:color="auto"/>
            <w:bottom w:val="none" w:sz="0" w:space="0" w:color="auto"/>
            <w:right w:val="none" w:sz="0" w:space="0" w:color="auto"/>
          </w:divBdr>
        </w:div>
        <w:div w:id="1268004066">
          <w:marLeft w:val="0"/>
          <w:marRight w:val="0"/>
          <w:marTop w:val="0"/>
          <w:marBottom w:val="0"/>
          <w:divBdr>
            <w:top w:val="none" w:sz="0" w:space="0" w:color="auto"/>
            <w:left w:val="none" w:sz="0" w:space="0" w:color="auto"/>
            <w:bottom w:val="none" w:sz="0" w:space="0" w:color="auto"/>
            <w:right w:val="none" w:sz="0" w:space="0" w:color="auto"/>
          </w:divBdr>
        </w:div>
        <w:div w:id="1487895756">
          <w:marLeft w:val="0"/>
          <w:marRight w:val="0"/>
          <w:marTop w:val="0"/>
          <w:marBottom w:val="0"/>
          <w:divBdr>
            <w:top w:val="none" w:sz="0" w:space="0" w:color="auto"/>
            <w:left w:val="none" w:sz="0" w:space="0" w:color="auto"/>
            <w:bottom w:val="none" w:sz="0" w:space="0" w:color="auto"/>
            <w:right w:val="none" w:sz="0" w:space="0" w:color="auto"/>
          </w:divBdr>
        </w:div>
        <w:div w:id="1511870958">
          <w:marLeft w:val="0"/>
          <w:marRight w:val="0"/>
          <w:marTop w:val="0"/>
          <w:marBottom w:val="0"/>
          <w:divBdr>
            <w:top w:val="none" w:sz="0" w:space="0" w:color="auto"/>
            <w:left w:val="none" w:sz="0" w:space="0" w:color="auto"/>
            <w:bottom w:val="none" w:sz="0" w:space="0" w:color="auto"/>
            <w:right w:val="none" w:sz="0" w:space="0" w:color="auto"/>
          </w:divBdr>
        </w:div>
        <w:div w:id="684524502">
          <w:marLeft w:val="0"/>
          <w:marRight w:val="0"/>
          <w:marTop w:val="0"/>
          <w:marBottom w:val="0"/>
          <w:divBdr>
            <w:top w:val="none" w:sz="0" w:space="0" w:color="auto"/>
            <w:left w:val="none" w:sz="0" w:space="0" w:color="auto"/>
            <w:bottom w:val="none" w:sz="0" w:space="0" w:color="auto"/>
            <w:right w:val="none" w:sz="0" w:space="0" w:color="auto"/>
          </w:divBdr>
        </w:div>
        <w:div w:id="975527890">
          <w:marLeft w:val="0"/>
          <w:marRight w:val="0"/>
          <w:marTop w:val="0"/>
          <w:marBottom w:val="0"/>
          <w:divBdr>
            <w:top w:val="none" w:sz="0" w:space="0" w:color="auto"/>
            <w:left w:val="none" w:sz="0" w:space="0" w:color="auto"/>
            <w:bottom w:val="none" w:sz="0" w:space="0" w:color="auto"/>
            <w:right w:val="none" w:sz="0" w:space="0" w:color="auto"/>
          </w:divBdr>
        </w:div>
        <w:div w:id="327752157">
          <w:marLeft w:val="0"/>
          <w:marRight w:val="0"/>
          <w:marTop w:val="0"/>
          <w:marBottom w:val="0"/>
          <w:divBdr>
            <w:top w:val="none" w:sz="0" w:space="0" w:color="auto"/>
            <w:left w:val="none" w:sz="0" w:space="0" w:color="auto"/>
            <w:bottom w:val="none" w:sz="0" w:space="0" w:color="auto"/>
            <w:right w:val="none" w:sz="0" w:space="0" w:color="auto"/>
          </w:divBdr>
        </w:div>
        <w:div w:id="1173107497">
          <w:marLeft w:val="0"/>
          <w:marRight w:val="0"/>
          <w:marTop w:val="0"/>
          <w:marBottom w:val="0"/>
          <w:divBdr>
            <w:top w:val="none" w:sz="0" w:space="0" w:color="auto"/>
            <w:left w:val="none" w:sz="0" w:space="0" w:color="auto"/>
            <w:bottom w:val="none" w:sz="0" w:space="0" w:color="auto"/>
            <w:right w:val="none" w:sz="0" w:space="0" w:color="auto"/>
          </w:divBdr>
        </w:div>
        <w:div w:id="1138887170">
          <w:marLeft w:val="0"/>
          <w:marRight w:val="0"/>
          <w:marTop w:val="0"/>
          <w:marBottom w:val="0"/>
          <w:divBdr>
            <w:top w:val="none" w:sz="0" w:space="0" w:color="auto"/>
            <w:left w:val="none" w:sz="0" w:space="0" w:color="auto"/>
            <w:bottom w:val="none" w:sz="0" w:space="0" w:color="auto"/>
            <w:right w:val="none" w:sz="0" w:space="0" w:color="auto"/>
          </w:divBdr>
        </w:div>
        <w:div w:id="1870797881">
          <w:marLeft w:val="0"/>
          <w:marRight w:val="0"/>
          <w:marTop w:val="0"/>
          <w:marBottom w:val="0"/>
          <w:divBdr>
            <w:top w:val="none" w:sz="0" w:space="0" w:color="auto"/>
            <w:left w:val="none" w:sz="0" w:space="0" w:color="auto"/>
            <w:bottom w:val="none" w:sz="0" w:space="0" w:color="auto"/>
            <w:right w:val="none" w:sz="0" w:space="0" w:color="auto"/>
          </w:divBdr>
        </w:div>
        <w:div w:id="1059090642">
          <w:marLeft w:val="0"/>
          <w:marRight w:val="0"/>
          <w:marTop w:val="0"/>
          <w:marBottom w:val="0"/>
          <w:divBdr>
            <w:top w:val="none" w:sz="0" w:space="0" w:color="auto"/>
            <w:left w:val="none" w:sz="0" w:space="0" w:color="auto"/>
            <w:bottom w:val="none" w:sz="0" w:space="0" w:color="auto"/>
            <w:right w:val="none" w:sz="0" w:space="0" w:color="auto"/>
          </w:divBdr>
        </w:div>
        <w:div w:id="1354572189">
          <w:marLeft w:val="0"/>
          <w:marRight w:val="0"/>
          <w:marTop w:val="0"/>
          <w:marBottom w:val="0"/>
          <w:divBdr>
            <w:top w:val="none" w:sz="0" w:space="0" w:color="auto"/>
            <w:left w:val="none" w:sz="0" w:space="0" w:color="auto"/>
            <w:bottom w:val="none" w:sz="0" w:space="0" w:color="auto"/>
            <w:right w:val="none" w:sz="0" w:space="0" w:color="auto"/>
          </w:divBdr>
        </w:div>
        <w:div w:id="575552567">
          <w:marLeft w:val="0"/>
          <w:marRight w:val="0"/>
          <w:marTop w:val="0"/>
          <w:marBottom w:val="0"/>
          <w:divBdr>
            <w:top w:val="none" w:sz="0" w:space="0" w:color="auto"/>
            <w:left w:val="none" w:sz="0" w:space="0" w:color="auto"/>
            <w:bottom w:val="none" w:sz="0" w:space="0" w:color="auto"/>
            <w:right w:val="none" w:sz="0" w:space="0" w:color="auto"/>
          </w:divBdr>
        </w:div>
        <w:div w:id="454373389">
          <w:marLeft w:val="0"/>
          <w:marRight w:val="0"/>
          <w:marTop w:val="0"/>
          <w:marBottom w:val="0"/>
          <w:divBdr>
            <w:top w:val="none" w:sz="0" w:space="0" w:color="auto"/>
            <w:left w:val="none" w:sz="0" w:space="0" w:color="auto"/>
            <w:bottom w:val="none" w:sz="0" w:space="0" w:color="auto"/>
            <w:right w:val="none" w:sz="0" w:space="0" w:color="auto"/>
          </w:divBdr>
        </w:div>
        <w:div w:id="1718510079">
          <w:marLeft w:val="0"/>
          <w:marRight w:val="0"/>
          <w:marTop w:val="0"/>
          <w:marBottom w:val="0"/>
          <w:divBdr>
            <w:top w:val="none" w:sz="0" w:space="0" w:color="auto"/>
            <w:left w:val="none" w:sz="0" w:space="0" w:color="auto"/>
            <w:bottom w:val="none" w:sz="0" w:space="0" w:color="auto"/>
            <w:right w:val="none" w:sz="0" w:space="0" w:color="auto"/>
          </w:divBdr>
        </w:div>
        <w:div w:id="434404415">
          <w:marLeft w:val="0"/>
          <w:marRight w:val="0"/>
          <w:marTop w:val="0"/>
          <w:marBottom w:val="0"/>
          <w:divBdr>
            <w:top w:val="none" w:sz="0" w:space="0" w:color="auto"/>
            <w:left w:val="none" w:sz="0" w:space="0" w:color="auto"/>
            <w:bottom w:val="none" w:sz="0" w:space="0" w:color="auto"/>
            <w:right w:val="none" w:sz="0" w:space="0" w:color="auto"/>
          </w:divBdr>
        </w:div>
        <w:div w:id="776175145">
          <w:marLeft w:val="0"/>
          <w:marRight w:val="0"/>
          <w:marTop w:val="0"/>
          <w:marBottom w:val="0"/>
          <w:divBdr>
            <w:top w:val="none" w:sz="0" w:space="0" w:color="auto"/>
            <w:left w:val="none" w:sz="0" w:space="0" w:color="auto"/>
            <w:bottom w:val="none" w:sz="0" w:space="0" w:color="auto"/>
            <w:right w:val="none" w:sz="0" w:space="0" w:color="auto"/>
          </w:divBdr>
        </w:div>
        <w:div w:id="331641051">
          <w:marLeft w:val="0"/>
          <w:marRight w:val="0"/>
          <w:marTop w:val="0"/>
          <w:marBottom w:val="0"/>
          <w:divBdr>
            <w:top w:val="none" w:sz="0" w:space="0" w:color="auto"/>
            <w:left w:val="none" w:sz="0" w:space="0" w:color="auto"/>
            <w:bottom w:val="none" w:sz="0" w:space="0" w:color="auto"/>
            <w:right w:val="none" w:sz="0" w:space="0" w:color="auto"/>
          </w:divBdr>
        </w:div>
        <w:div w:id="779228141">
          <w:marLeft w:val="0"/>
          <w:marRight w:val="0"/>
          <w:marTop w:val="0"/>
          <w:marBottom w:val="0"/>
          <w:divBdr>
            <w:top w:val="none" w:sz="0" w:space="0" w:color="auto"/>
            <w:left w:val="none" w:sz="0" w:space="0" w:color="auto"/>
            <w:bottom w:val="none" w:sz="0" w:space="0" w:color="auto"/>
            <w:right w:val="none" w:sz="0" w:space="0" w:color="auto"/>
          </w:divBdr>
        </w:div>
        <w:div w:id="1799179228">
          <w:marLeft w:val="0"/>
          <w:marRight w:val="0"/>
          <w:marTop w:val="0"/>
          <w:marBottom w:val="0"/>
          <w:divBdr>
            <w:top w:val="none" w:sz="0" w:space="0" w:color="auto"/>
            <w:left w:val="none" w:sz="0" w:space="0" w:color="auto"/>
            <w:bottom w:val="none" w:sz="0" w:space="0" w:color="auto"/>
            <w:right w:val="none" w:sz="0" w:space="0" w:color="auto"/>
          </w:divBdr>
        </w:div>
        <w:div w:id="1417626793">
          <w:marLeft w:val="0"/>
          <w:marRight w:val="0"/>
          <w:marTop w:val="0"/>
          <w:marBottom w:val="0"/>
          <w:divBdr>
            <w:top w:val="none" w:sz="0" w:space="0" w:color="auto"/>
            <w:left w:val="none" w:sz="0" w:space="0" w:color="auto"/>
            <w:bottom w:val="none" w:sz="0" w:space="0" w:color="auto"/>
            <w:right w:val="none" w:sz="0" w:space="0" w:color="auto"/>
          </w:divBdr>
        </w:div>
        <w:div w:id="606088111">
          <w:marLeft w:val="0"/>
          <w:marRight w:val="0"/>
          <w:marTop w:val="0"/>
          <w:marBottom w:val="0"/>
          <w:divBdr>
            <w:top w:val="none" w:sz="0" w:space="0" w:color="auto"/>
            <w:left w:val="none" w:sz="0" w:space="0" w:color="auto"/>
            <w:bottom w:val="none" w:sz="0" w:space="0" w:color="auto"/>
            <w:right w:val="none" w:sz="0" w:space="0" w:color="auto"/>
          </w:divBdr>
        </w:div>
        <w:div w:id="1766068736">
          <w:marLeft w:val="0"/>
          <w:marRight w:val="0"/>
          <w:marTop w:val="0"/>
          <w:marBottom w:val="0"/>
          <w:divBdr>
            <w:top w:val="none" w:sz="0" w:space="0" w:color="auto"/>
            <w:left w:val="none" w:sz="0" w:space="0" w:color="auto"/>
            <w:bottom w:val="none" w:sz="0" w:space="0" w:color="auto"/>
            <w:right w:val="none" w:sz="0" w:space="0" w:color="auto"/>
          </w:divBdr>
        </w:div>
        <w:div w:id="432826972">
          <w:marLeft w:val="0"/>
          <w:marRight w:val="0"/>
          <w:marTop w:val="0"/>
          <w:marBottom w:val="0"/>
          <w:divBdr>
            <w:top w:val="none" w:sz="0" w:space="0" w:color="auto"/>
            <w:left w:val="none" w:sz="0" w:space="0" w:color="auto"/>
            <w:bottom w:val="none" w:sz="0" w:space="0" w:color="auto"/>
            <w:right w:val="none" w:sz="0" w:space="0" w:color="auto"/>
          </w:divBdr>
        </w:div>
        <w:div w:id="1974480695">
          <w:marLeft w:val="0"/>
          <w:marRight w:val="0"/>
          <w:marTop w:val="0"/>
          <w:marBottom w:val="0"/>
          <w:divBdr>
            <w:top w:val="none" w:sz="0" w:space="0" w:color="auto"/>
            <w:left w:val="none" w:sz="0" w:space="0" w:color="auto"/>
            <w:bottom w:val="none" w:sz="0" w:space="0" w:color="auto"/>
            <w:right w:val="none" w:sz="0" w:space="0" w:color="auto"/>
          </w:divBdr>
        </w:div>
        <w:div w:id="2009557947">
          <w:marLeft w:val="0"/>
          <w:marRight w:val="0"/>
          <w:marTop w:val="0"/>
          <w:marBottom w:val="0"/>
          <w:divBdr>
            <w:top w:val="none" w:sz="0" w:space="0" w:color="auto"/>
            <w:left w:val="none" w:sz="0" w:space="0" w:color="auto"/>
            <w:bottom w:val="none" w:sz="0" w:space="0" w:color="auto"/>
            <w:right w:val="none" w:sz="0" w:space="0" w:color="auto"/>
          </w:divBdr>
        </w:div>
        <w:div w:id="8219737">
          <w:marLeft w:val="0"/>
          <w:marRight w:val="0"/>
          <w:marTop w:val="0"/>
          <w:marBottom w:val="0"/>
          <w:divBdr>
            <w:top w:val="none" w:sz="0" w:space="0" w:color="auto"/>
            <w:left w:val="none" w:sz="0" w:space="0" w:color="auto"/>
            <w:bottom w:val="none" w:sz="0" w:space="0" w:color="auto"/>
            <w:right w:val="none" w:sz="0" w:space="0" w:color="auto"/>
          </w:divBdr>
        </w:div>
        <w:div w:id="745372710">
          <w:marLeft w:val="0"/>
          <w:marRight w:val="0"/>
          <w:marTop w:val="0"/>
          <w:marBottom w:val="0"/>
          <w:divBdr>
            <w:top w:val="none" w:sz="0" w:space="0" w:color="auto"/>
            <w:left w:val="none" w:sz="0" w:space="0" w:color="auto"/>
            <w:bottom w:val="none" w:sz="0" w:space="0" w:color="auto"/>
            <w:right w:val="none" w:sz="0" w:space="0" w:color="auto"/>
          </w:divBdr>
        </w:div>
        <w:div w:id="2104910229">
          <w:marLeft w:val="0"/>
          <w:marRight w:val="0"/>
          <w:marTop w:val="0"/>
          <w:marBottom w:val="0"/>
          <w:divBdr>
            <w:top w:val="none" w:sz="0" w:space="0" w:color="auto"/>
            <w:left w:val="none" w:sz="0" w:space="0" w:color="auto"/>
            <w:bottom w:val="none" w:sz="0" w:space="0" w:color="auto"/>
            <w:right w:val="none" w:sz="0" w:space="0" w:color="auto"/>
          </w:divBdr>
        </w:div>
        <w:div w:id="636224230">
          <w:marLeft w:val="0"/>
          <w:marRight w:val="0"/>
          <w:marTop w:val="0"/>
          <w:marBottom w:val="0"/>
          <w:divBdr>
            <w:top w:val="none" w:sz="0" w:space="0" w:color="auto"/>
            <w:left w:val="none" w:sz="0" w:space="0" w:color="auto"/>
            <w:bottom w:val="none" w:sz="0" w:space="0" w:color="auto"/>
            <w:right w:val="none" w:sz="0" w:space="0" w:color="auto"/>
          </w:divBdr>
        </w:div>
        <w:div w:id="981152737">
          <w:marLeft w:val="0"/>
          <w:marRight w:val="0"/>
          <w:marTop w:val="0"/>
          <w:marBottom w:val="0"/>
          <w:divBdr>
            <w:top w:val="none" w:sz="0" w:space="0" w:color="auto"/>
            <w:left w:val="none" w:sz="0" w:space="0" w:color="auto"/>
            <w:bottom w:val="none" w:sz="0" w:space="0" w:color="auto"/>
            <w:right w:val="none" w:sz="0" w:space="0" w:color="auto"/>
          </w:divBdr>
        </w:div>
        <w:div w:id="1438714370">
          <w:marLeft w:val="0"/>
          <w:marRight w:val="0"/>
          <w:marTop w:val="0"/>
          <w:marBottom w:val="0"/>
          <w:divBdr>
            <w:top w:val="none" w:sz="0" w:space="0" w:color="auto"/>
            <w:left w:val="none" w:sz="0" w:space="0" w:color="auto"/>
            <w:bottom w:val="none" w:sz="0" w:space="0" w:color="auto"/>
            <w:right w:val="none" w:sz="0" w:space="0" w:color="auto"/>
          </w:divBdr>
        </w:div>
        <w:div w:id="1776288339">
          <w:marLeft w:val="0"/>
          <w:marRight w:val="0"/>
          <w:marTop w:val="0"/>
          <w:marBottom w:val="0"/>
          <w:divBdr>
            <w:top w:val="none" w:sz="0" w:space="0" w:color="auto"/>
            <w:left w:val="none" w:sz="0" w:space="0" w:color="auto"/>
            <w:bottom w:val="none" w:sz="0" w:space="0" w:color="auto"/>
            <w:right w:val="none" w:sz="0" w:space="0" w:color="auto"/>
          </w:divBdr>
        </w:div>
        <w:div w:id="833909730">
          <w:marLeft w:val="0"/>
          <w:marRight w:val="0"/>
          <w:marTop w:val="0"/>
          <w:marBottom w:val="0"/>
          <w:divBdr>
            <w:top w:val="none" w:sz="0" w:space="0" w:color="auto"/>
            <w:left w:val="none" w:sz="0" w:space="0" w:color="auto"/>
            <w:bottom w:val="none" w:sz="0" w:space="0" w:color="auto"/>
            <w:right w:val="none" w:sz="0" w:space="0" w:color="auto"/>
          </w:divBdr>
        </w:div>
        <w:div w:id="1447460384">
          <w:marLeft w:val="0"/>
          <w:marRight w:val="0"/>
          <w:marTop w:val="0"/>
          <w:marBottom w:val="0"/>
          <w:divBdr>
            <w:top w:val="none" w:sz="0" w:space="0" w:color="auto"/>
            <w:left w:val="none" w:sz="0" w:space="0" w:color="auto"/>
            <w:bottom w:val="none" w:sz="0" w:space="0" w:color="auto"/>
            <w:right w:val="none" w:sz="0" w:space="0" w:color="auto"/>
          </w:divBdr>
        </w:div>
        <w:div w:id="1082874228">
          <w:marLeft w:val="0"/>
          <w:marRight w:val="0"/>
          <w:marTop w:val="0"/>
          <w:marBottom w:val="0"/>
          <w:divBdr>
            <w:top w:val="none" w:sz="0" w:space="0" w:color="auto"/>
            <w:left w:val="none" w:sz="0" w:space="0" w:color="auto"/>
            <w:bottom w:val="none" w:sz="0" w:space="0" w:color="auto"/>
            <w:right w:val="none" w:sz="0" w:space="0" w:color="auto"/>
          </w:divBdr>
        </w:div>
        <w:div w:id="1662584283">
          <w:marLeft w:val="0"/>
          <w:marRight w:val="0"/>
          <w:marTop w:val="0"/>
          <w:marBottom w:val="0"/>
          <w:divBdr>
            <w:top w:val="none" w:sz="0" w:space="0" w:color="auto"/>
            <w:left w:val="none" w:sz="0" w:space="0" w:color="auto"/>
            <w:bottom w:val="none" w:sz="0" w:space="0" w:color="auto"/>
            <w:right w:val="none" w:sz="0" w:space="0" w:color="auto"/>
          </w:divBdr>
        </w:div>
        <w:div w:id="877935809">
          <w:marLeft w:val="0"/>
          <w:marRight w:val="0"/>
          <w:marTop w:val="0"/>
          <w:marBottom w:val="0"/>
          <w:divBdr>
            <w:top w:val="none" w:sz="0" w:space="0" w:color="auto"/>
            <w:left w:val="none" w:sz="0" w:space="0" w:color="auto"/>
            <w:bottom w:val="none" w:sz="0" w:space="0" w:color="auto"/>
            <w:right w:val="none" w:sz="0" w:space="0" w:color="auto"/>
          </w:divBdr>
        </w:div>
        <w:div w:id="1517235399">
          <w:marLeft w:val="0"/>
          <w:marRight w:val="0"/>
          <w:marTop w:val="0"/>
          <w:marBottom w:val="0"/>
          <w:divBdr>
            <w:top w:val="none" w:sz="0" w:space="0" w:color="auto"/>
            <w:left w:val="none" w:sz="0" w:space="0" w:color="auto"/>
            <w:bottom w:val="none" w:sz="0" w:space="0" w:color="auto"/>
            <w:right w:val="none" w:sz="0" w:space="0" w:color="auto"/>
          </w:divBdr>
        </w:div>
        <w:div w:id="1701737195">
          <w:marLeft w:val="0"/>
          <w:marRight w:val="0"/>
          <w:marTop w:val="0"/>
          <w:marBottom w:val="0"/>
          <w:divBdr>
            <w:top w:val="none" w:sz="0" w:space="0" w:color="auto"/>
            <w:left w:val="none" w:sz="0" w:space="0" w:color="auto"/>
            <w:bottom w:val="none" w:sz="0" w:space="0" w:color="auto"/>
            <w:right w:val="none" w:sz="0" w:space="0" w:color="auto"/>
          </w:divBdr>
        </w:div>
        <w:div w:id="1016736716">
          <w:marLeft w:val="0"/>
          <w:marRight w:val="0"/>
          <w:marTop w:val="0"/>
          <w:marBottom w:val="0"/>
          <w:divBdr>
            <w:top w:val="none" w:sz="0" w:space="0" w:color="auto"/>
            <w:left w:val="none" w:sz="0" w:space="0" w:color="auto"/>
            <w:bottom w:val="none" w:sz="0" w:space="0" w:color="auto"/>
            <w:right w:val="none" w:sz="0" w:space="0" w:color="auto"/>
          </w:divBdr>
        </w:div>
        <w:div w:id="1050613222">
          <w:marLeft w:val="0"/>
          <w:marRight w:val="0"/>
          <w:marTop w:val="0"/>
          <w:marBottom w:val="0"/>
          <w:divBdr>
            <w:top w:val="none" w:sz="0" w:space="0" w:color="auto"/>
            <w:left w:val="none" w:sz="0" w:space="0" w:color="auto"/>
            <w:bottom w:val="none" w:sz="0" w:space="0" w:color="auto"/>
            <w:right w:val="none" w:sz="0" w:space="0" w:color="auto"/>
          </w:divBdr>
        </w:div>
        <w:div w:id="575626604">
          <w:marLeft w:val="0"/>
          <w:marRight w:val="0"/>
          <w:marTop w:val="0"/>
          <w:marBottom w:val="0"/>
          <w:divBdr>
            <w:top w:val="none" w:sz="0" w:space="0" w:color="auto"/>
            <w:left w:val="none" w:sz="0" w:space="0" w:color="auto"/>
            <w:bottom w:val="none" w:sz="0" w:space="0" w:color="auto"/>
            <w:right w:val="none" w:sz="0" w:space="0" w:color="auto"/>
          </w:divBdr>
        </w:div>
        <w:div w:id="580987258">
          <w:marLeft w:val="0"/>
          <w:marRight w:val="0"/>
          <w:marTop w:val="0"/>
          <w:marBottom w:val="0"/>
          <w:divBdr>
            <w:top w:val="none" w:sz="0" w:space="0" w:color="auto"/>
            <w:left w:val="none" w:sz="0" w:space="0" w:color="auto"/>
            <w:bottom w:val="none" w:sz="0" w:space="0" w:color="auto"/>
            <w:right w:val="none" w:sz="0" w:space="0" w:color="auto"/>
          </w:divBdr>
        </w:div>
        <w:div w:id="976908809">
          <w:marLeft w:val="0"/>
          <w:marRight w:val="0"/>
          <w:marTop w:val="0"/>
          <w:marBottom w:val="0"/>
          <w:divBdr>
            <w:top w:val="none" w:sz="0" w:space="0" w:color="auto"/>
            <w:left w:val="none" w:sz="0" w:space="0" w:color="auto"/>
            <w:bottom w:val="none" w:sz="0" w:space="0" w:color="auto"/>
            <w:right w:val="none" w:sz="0" w:space="0" w:color="auto"/>
          </w:divBdr>
        </w:div>
        <w:div w:id="1531528636">
          <w:marLeft w:val="0"/>
          <w:marRight w:val="0"/>
          <w:marTop w:val="0"/>
          <w:marBottom w:val="0"/>
          <w:divBdr>
            <w:top w:val="none" w:sz="0" w:space="0" w:color="auto"/>
            <w:left w:val="none" w:sz="0" w:space="0" w:color="auto"/>
            <w:bottom w:val="none" w:sz="0" w:space="0" w:color="auto"/>
            <w:right w:val="none" w:sz="0" w:space="0" w:color="auto"/>
          </w:divBdr>
        </w:div>
        <w:div w:id="1414476048">
          <w:marLeft w:val="0"/>
          <w:marRight w:val="0"/>
          <w:marTop w:val="0"/>
          <w:marBottom w:val="0"/>
          <w:divBdr>
            <w:top w:val="none" w:sz="0" w:space="0" w:color="auto"/>
            <w:left w:val="none" w:sz="0" w:space="0" w:color="auto"/>
            <w:bottom w:val="none" w:sz="0" w:space="0" w:color="auto"/>
            <w:right w:val="none" w:sz="0" w:space="0" w:color="auto"/>
          </w:divBdr>
        </w:div>
        <w:div w:id="1466198246">
          <w:marLeft w:val="0"/>
          <w:marRight w:val="0"/>
          <w:marTop w:val="0"/>
          <w:marBottom w:val="0"/>
          <w:divBdr>
            <w:top w:val="none" w:sz="0" w:space="0" w:color="auto"/>
            <w:left w:val="none" w:sz="0" w:space="0" w:color="auto"/>
            <w:bottom w:val="none" w:sz="0" w:space="0" w:color="auto"/>
            <w:right w:val="none" w:sz="0" w:space="0" w:color="auto"/>
          </w:divBdr>
        </w:div>
        <w:div w:id="1412265905">
          <w:marLeft w:val="0"/>
          <w:marRight w:val="0"/>
          <w:marTop w:val="0"/>
          <w:marBottom w:val="0"/>
          <w:divBdr>
            <w:top w:val="none" w:sz="0" w:space="0" w:color="auto"/>
            <w:left w:val="none" w:sz="0" w:space="0" w:color="auto"/>
            <w:bottom w:val="none" w:sz="0" w:space="0" w:color="auto"/>
            <w:right w:val="none" w:sz="0" w:space="0" w:color="auto"/>
          </w:divBdr>
        </w:div>
        <w:div w:id="1898930973">
          <w:marLeft w:val="0"/>
          <w:marRight w:val="0"/>
          <w:marTop w:val="0"/>
          <w:marBottom w:val="0"/>
          <w:divBdr>
            <w:top w:val="none" w:sz="0" w:space="0" w:color="auto"/>
            <w:left w:val="none" w:sz="0" w:space="0" w:color="auto"/>
            <w:bottom w:val="none" w:sz="0" w:space="0" w:color="auto"/>
            <w:right w:val="none" w:sz="0" w:space="0" w:color="auto"/>
          </w:divBdr>
        </w:div>
        <w:div w:id="24141015">
          <w:marLeft w:val="0"/>
          <w:marRight w:val="0"/>
          <w:marTop w:val="0"/>
          <w:marBottom w:val="0"/>
          <w:divBdr>
            <w:top w:val="none" w:sz="0" w:space="0" w:color="auto"/>
            <w:left w:val="none" w:sz="0" w:space="0" w:color="auto"/>
            <w:bottom w:val="none" w:sz="0" w:space="0" w:color="auto"/>
            <w:right w:val="none" w:sz="0" w:space="0" w:color="auto"/>
          </w:divBdr>
        </w:div>
        <w:div w:id="915364202">
          <w:marLeft w:val="0"/>
          <w:marRight w:val="0"/>
          <w:marTop w:val="0"/>
          <w:marBottom w:val="0"/>
          <w:divBdr>
            <w:top w:val="none" w:sz="0" w:space="0" w:color="auto"/>
            <w:left w:val="none" w:sz="0" w:space="0" w:color="auto"/>
            <w:bottom w:val="none" w:sz="0" w:space="0" w:color="auto"/>
            <w:right w:val="none" w:sz="0" w:space="0" w:color="auto"/>
          </w:divBdr>
        </w:div>
        <w:div w:id="1742294132">
          <w:marLeft w:val="0"/>
          <w:marRight w:val="0"/>
          <w:marTop w:val="0"/>
          <w:marBottom w:val="0"/>
          <w:divBdr>
            <w:top w:val="none" w:sz="0" w:space="0" w:color="auto"/>
            <w:left w:val="none" w:sz="0" w:space="0" w:color="auto"/>
            <w:bottom w:val="none" w:sz="0" w:space="0" w:color="auto"/>
            <w:right w:val="none" w:sz="0" w:space="0" w:color="auto"/>
          </w:divBdr>
        </w:div>
        <w:div w:id="656422220">
          <w:marLeft w:val="0"/>
          <w:marRight w:val="0"/>
          <w:marTop w:val="0"/>
          <w:marBottom w:val="0"/>
          <w:divBdr>
            <w:top w:val="none" w:sz="0" w:space="0" w:color="auto"/>
            <w:left w:val="none" w:sz="0" w:space="0" w:color="auto"/>
            <w:bottom w:val="none" w:sz="0" w:space="0" w:color="auto"/>
            <w:right w:val="none" w:sz="0" w:space="0" w:color="auto"/>
          </w:divBdr>
        </w:div>
        <w:div w:id="752698122">
          <w:marLeft w:val="0"/>
          <w:marRight w:val="0"/>
          <w:marTop w:val="0"/>
          <w:marBottom w:val="0"/>
          <w:divBdr>
            <w:top w:val="none" w:sz="0" w:space="0" w:color="auto"/>
            <w:left w:val="none" w:sz="0" w:space="0" w:color="auto"/>
            <w:bottom w:val="none" w:sz="0" w:space="0" w:color="auto"/>
            <w:right w:val="none" w:sz="0" w:space="0" w:color="auto"/>
          </w:divBdr>
        </w:div>
        <w:div w:id="2139445849">
          <w:marLeft w:val="0"/>
          <w:marRight w:val="0"/>
          <w:marTop w:val="0"/>
          <w:marBottom w:val="0"/>
          <w:divBdr>
            <w:top w:val="none" w:sz="0" w:space="0" w:color="auto"/>
            <w:left w:val="none" w:sz="0" w:space="0" w:color="auto"/>
            <w:bottom w:val="none" w:sz="0" w:space="0" w:color="auto"/>
            <w:right w:val="none" w:sz="0" w:space="0" w:color="auto"/>
          </w:divBdr>
        </w:div>
        <w:div w:id="1040017036">
          <w:marLeft w:val="0"/>
          <w:marRight w:val="0"/>
          <w:marTop w:val="0"/>
          <w:marBottom w:val="0"/>
          <w:divBdr>
            <w:top w:val="none" w:sz="0" w:space="0" w:color="auto"/>
            <w:left w:val="none" w:sz="0" w:space="0" w:color="auto"/>
            <w:bottom w:val="none" w:sz="0" w:space="0" w:color="auto"/>
            <w:right w:val="none" w:sz="0" w:space="0" w:color="auto"/>
          </w:divBdr>
        </w:div>
        <w:div w:id="964696898">
          <w:marLeft w:val="0"/>
          <w:marRight w:val="0"/>
          <w:marTop w:val="0"/>
          <w:marBottom w:val="0"/>
          <w:divBdr>
            <w:top w:val="none" w:sz="0" w:space="0" w:color="auto"/>
            <w:left w:val="none" w:sz="0" w:space="0" w:color="auto"/>
            <w:bottom w:val="none" w:sz="0" w:space="0" w:color="auto"/>
            <w:right w:val="none" w:sz="0" w:space="0" w:color="auto"/>
          </w:divBdr>
        </w:div>
        <w:div w:id="1145051554">
          <w:marLeft w:val="0"/>
          <w:marRight w:val="0"/>
          <w:marTop w:val="0"/>
          <w:marBottom w:val="0"/>
          <w:divBdr>
            <w:top w:val="none" w:sz="0" w:space="0" w:color="auto"/>
            <w:left w:val="none" w:sz="0" w:space="0" w:color="auto"/>
            <w:bottom w:val="none" w:sz="0" w:space="0" w:color="auto"/>
            <w:right w:val="none" w:sz="0" w:space="0" w:color="auto"/>
          </w:divBdr>
        </w:div>
        <w:div w:id="1492673704">
          <w:marLeft w:val="0"/>
          <w:marRight w:val="0"/>
          <w:marTop w:val="0"/>
          <w:marBottom w:val="0"/>
          <w:divBdr>
            <w:top w:val="none" w:sz="0" w:space="0" w:color="auto"/>
            <w:left w:val="none" w:sz="0" w:space="0" w:color="auto"/>
            <w:bottom w:val="none" w:sz="0" w:space="0" w:color="auto"/>
            <w:right w:val="none" w:sz="0" w:space="0" w:color="auto"/>
          </w:divBdr>
        </w:div>
        <w:div w:id="881213847">
          <w:marLeft w:val="0"/>
          <w:marRight w:val="0"/>
          <w:marTop w:val="0"/>
          <w:marBottom w:val="0"/>
          <w:divBdr>
            <w:top w:val="none" w:sz="0" w:space="0" w:color="auto"/>
            <w:left w:val="none" w:sz="0" w:space="0" w:color="auto"/>
            <w:bottom w:val="none" w:sz="0" w:space="0" w:color="auto"/>
            <w:right w:val="none" w:sz="0" w:space="0" w:color="auto"/>
          </w:divBdr>
        </w:div>
        <w:div w:id="1650473359">
          <w:marLeft w:val="0"/>
          <w:marRight w:val="0"/>
          <w:marTop w:val="0"/>
          <w:marBottom w:val="0"/>
          <w:divBdr>
            <w:top w:val="none" w:sz="0" w:space="0" w:color="auto"/>
            <w:left w:val="none" w:sz="0" w:space="0" w:color="auto"/>
            <w:bottom w:val="none" w:sz="0" w:space="0" w:color="auto"/>
            <w:right w:val="none" w:sz="0" w:space="0" w:color="auto"/>
          </w:divBdr>
        </w:div>
        <w:div w:id="1224871982">
          <w:marLeft w:val="0"/>
          <w:marRight w:val="0"/>
          <w:marTop w:val="0"/>
          <w:marBottom w:val="0"/>
          <w:divBdr>
            <w:top w:val="none" w:sz="0" w:space="0" w:color="auto"/>
            <w:left w:val="none" w:sz="0" w:space="0" w:color="auto"/>
            <w:bottom w:val="none" w:sz="0" w:space="0" w:color="auto"/>
            <w:right w:val="none" w:sz="0" w:space="0" w:color="auto"/>
          </w:divBdr>
        </w:div>
        <w:div w:id="1283615094">
          <w:marLeft w:val="0"/>
          <w:marRight w:val="0"/>
          <w:marTop w:val="0"/>
          <w:marBottom w:val="0"/>
          <w:divBdr>
            <w:top w:val="none" w:sz="0" w:space="0" w:color="auto"/>
            <w:left w:val="none" w:sz="0" w:space="0" w:color="auto"/>
            <w:bottom w:val="none" w:sz="0" w:space="0" w:color="auto"/>
            <w:right w:val="none" w:sz="0" w:space="0" w:color="auto"/>
          </w:divBdr>
        </w:div>
        <w:div w:id="2108042942">
          <w:marLeft w:val="0"/>
          <w:marRight w:val="0"/>
          <w:marTop w:val="0"/>
          <w:marBottom w:val="0"/>
          <w:divBdr>
            <w:top w:val="none" w:sz="0" w:space="0" w:color="auto"/>
            <w:left w:val="none" w:sz="0" w:space="0" w:color="auto"/>
            <w:bottom w:val="none" w:sz="0" w:space="0" w:color="auto"/>
            <w:right w:val="none" w:sz="0" w:space="0" w:color="auto"/>
          </w:divBdr>
        </w:div>
        <w:div w:id="1106191539">
          <w:marLeft w:val="0"/>
          <w:marRight w:val="0"/>
          <w:marTop w:val="0"/>
          <w:marBottom w:val="0"/>
          <w:divBdr>
            <w:top w:val="none" w:sz="0" w:space="0" w:color="auto"/>
            <w:left w:val="none" w:sz="0" w:space="0" w:color="auto"/>
            <w:bottom w:val="none" w:sz="0" w:space="0" w:color="auto"/>
            <w:right w:val="none" w:sz="0" w:space="0" w:color="auto"/>
          </w:divBdr>
        </w:div>
        <w:div w:id="1754545100">
          <w:marLeft w:val="0"/>
          <w:marRight w:val="0"/>
          <w:marTop w:val="0"/>
          <w:marBottom w:val="0"/>
          <w:divBdr>
            <w:top w:val="none" w:sz="0" w:space="0" w:color="auto"/>
            <w:left w:val="none" w:sz="0" w:space="0" w:color="auto"/>
            <w:bottom w:val="none" w:sz="0" w:space="0" w:color="auto"/>
            <w:right w:val="none" w:sz="0" w:space="0" w:color="auto"/>
          </w:divBdr>
        </w:div>
        <w:div w:id="296491858">
          <w:marLeft w:val="0"/>
          <w:marRight w:val="0"/>
          <w:marTop w:val="0"/>
          <w:marBottom w:val="0"/>
          <w:divBdr>
            <w:top w:val="none" w:sz="0" w:space="0" w:color="auto"/>
            <w:left w:val="none" w:sz="0" w:space="0" w:color="auto"/>
            <w:bottom w:val="none" w:sz="0" w:space="0" w:color="auto"/>
            <w:right w:val="none" w:sz="0" w:space="0" w:color="auto"/>
          </w:divBdr>
        </w:div>
        <w:div w:id="763573724">
          <w:marLeft w:val="0"/>
          <w:marRight w:val="0"/>
          <w:marTop w:val="0"/>
          <w:marBottom w:val="0"/>
          <w:divBdr>
            <w:top w:val="none" w:sz="0" w:space="0" w:color="auto"/>
            <w:left w:val="none" w:sz="0" w:space="0" w:color="auto"/>
            <w:bottom w:val="none" w:sz="0" w:space="0" w:color="auto"/>
            <w:right w:val="none" w:sz="0" w:space="0" w:color="auto"/>
          </w:divBdr>
        </w:div>
        <w:div w:id="1103576089">
          <w:marLeft w:val="0"/>
          <w:marRight w:val="0"/>
          <w:marTop w:val="0"/>
          <w:marBottom w:val="0"/>
          <w:divBdr>
            <w:top w:val="none" w:sz="0" w:space="0" w:color="auto"/>
            <w:left w:val="none" w:sz="0" w:space="0" w:color="auto"/>
            <w:bottom w:val="none" w:sz="0" w:space="0" w:color="auto"/>
            <w:right w:val="none" w:sz="0" w:space="0" w:color="auto"/>
          </w:divBdr>
        </w:div>
        <w:div w:id="678703252">
          <w:marLeft w:val="0"/>
          <w:marRight w:val="0"/>
          <w:marTop w:val="0"/>
          <w:marBottom w:val="0"/>
          <w:divBdr>
            <w:top w:val="none" w:sz="0" w:space="0" w:color="auto"/>
            <w:left w:val="none" w:sz="0" w:space="0" w:color="auto"/>
            <w:bottom w:val="none" w:sz="0" w:space="0" w:color="auto"/>
            <w:right w:val="none" w:sz="0" w:space="0" w:color="auto"/>
          </w:divBdr>
        </w:div>
        <w:div w:id="1062367411">
          <w:marLeft w:val="0"/>
          <w:marRight w:val="0"/>
          <w:marTop w:val="0"/>
          <w:marBottom w:val="0"/>
          <w:divBdr>
            <w:top w:val="none" w:sz="0" w:space="0" w:color="auto"/>
            <w:left w:val="none" w:sz="0" w:space="0" w:color="auto"/>
            <w:bottom w:val="none" w:sz="0" w:space="0" w:color="auto"/>
            <w:right w:val="none" w:sz="0" w:space="0" w:color="auto"/>
          </w:divBdr>
        </w:div>
        <w:div w:id="821431784">
          <w:marLeft w:val="0"/>
          <w:marRight w:val="0"/>
          <w:marTop w:val="0"/>
          <w:marBottom w:val="0"/>
          <w:divBdr>
            <w:top w:val="none" w:sz="0" w:space="0" w:color="auto"/>
            <w:left w:val="none" w:sz="0" w:space="0" w:color="auto"/>
            <w:bottom w:val="none" w:sz="0" w:space="0" w:color="auto"/>
            <w:right w:val="none" w:sz="0" w:space="0" w:color="auto"/>
          </w:divBdr>
        </w:div>
        <w:div w:id="224951332">
          <w:marLeft w:val="0"/>
          <w:marRight w:val="0"/>
          <w:marTop w:val="0"/>
          <w:marBottom w:val="0"/>
          <w:divBdr>
            <w:top w:val="none" w:sz="0" w:space="0" w:color="auto"/>
            <w:left w:val="none" w:sz="0" w:space="0" w:color="auto"/>
            <w:bottom w:val="none" w:sz="0" w:space="0" w:color="auto"/>
            <w:right w:val="none" w:sz="0" w:space="0" w:color="auto"/>
          </w:divBdr>
        </w:div>
        <w:div w:id="700938801">
          <w:marLeft w:val="0"/>
          <w:marRight w:val="0"/>
          <w:marTop w:val="0"/>
          <w:marBottom w:val="0"/>
          <w:divBdr>
            <w:top w:val="none" w:sz="0" w:space="0" w:color="auto"/>
            <w:left w:val="none" w:sz="0" w:space="0" w:color="auto"/>
            <w:bottom w:val="none" w:sz="0" w:space="0" w:color="auto"/>
            <w:right w:val="none" w:sz="0" w:space="0" w:color="auto"/>
          </w:divBdr>
        </w:div>
        <w:div w:id="1567691152">
          <w:marLeft w:val="0"/>
          <w:marRight w:val="0"/>
          <w:marTop w:val="0"/>
          <w:marBottom w:val="0"/>
          <w:divBdr>
            <w:top w:val="none" w:sz="0" w:space="0" w:color="auto"/>
            <w:left w:val="none" w:sz="0" w:space="0" w:color="auto"/>
            <w:bottom w:val="none" w:sz="0" w:space="0" w:color="auto"/>
            <w:right w:val="none" w:sz="0" w:space="0" w:color="auto"/>
          </w:divBdr>
        </w:div>
        <w:div w:id="1091270659">
          <w:marLeft w:val="0"/>
          <w:marRight w:val="0"/>
          <w:marTop w:val="0"/>
          <w:marBottom w:val="0"/>
          <w:divBdr>
            <w:top w:val="none" w:sz="0" w:space="0" w:color="auto"/>
            <w:left w:val="none" w:sz="0" w:space="0" w:color="auto"/>
            <w:bottom w:val="none" w:sz="0" w:space="0" w:color="auto"/>
            <w:right w:val="none" w:sz="0" w:space="0" w:color="auto"/>
          </w:divBdr>
        </w:div>
        <w:div w:id="756290637">
          <w:marLeft w:val="0"/>
          <w:marRight w:val="0"/>
          <w:marTop w:val="0"/>
          <w:marBottom w:val="0"/>
          <w:divBdr>
            <w:top w:val="none" w:sz="0" w:space="0" w:color="auto"/>
            <w:left w:val="none" w:sz="0" w:space="0" w:color="auto"/>
            <w:bottom w:val="none" w:sz="0" w:space="0" w:color="auto"/>
            <w:right w:val="none" w:sz="0" w:space="0" w:color="auto"/>
          </w:divBdr>
        </w:div>
        <w:div w:id="1527863844">
          <w:marLeft w:val="0"/>
          <w:marRight w:val="0"/>
          <w:marTop w:val="0"/>
          <w:marBottom w:val="0"/>
          <w:divBdr>
            <w:top w:val="none" w:sz="0" w:space="0" w:color="auto"/>
            <w:left w:val="none" w:sz="0" w:space="0" w:color="auto"/>
            <w:bottom w:val="none" w:sz="0" w:space="0" w:color="auto"/>
            <w:right w:val="none" w:sz="0" w:space="0" w:color="auto"/>
          </w:divBdr>
        </w:div>
        <w:div w:id="1229196057">
          <w:marLeft w:val="0"/>
          <w:marRight w:val="0"/>
          <w:marTop w:val="0"/>
          <w:marBottom w:val="0"/>
          <w:divBdr>
            <w:top w:val="none" w:sz="0" w:space="0" w:color="auto"/>
            <w:left w:val="none" w:sz="0" w:space="0" w:color="auto"/>
            <w:bottom w:val="none" w:sz="0" w:space="0" w:color="auto"/>
            <w:right w:val="none" w:sz="0" w:space="0" w:color="auto"/>
          </w:divBdr>
        </w:div>
        <w:div w:id="1040204372">
          <w:marLeft w:val="0"/>
          <w:marRight w:val="0"/>
          <w:marTop w:val="0"/>
          <w:marBottom w:val="0"/>
          <w:divBdr>
            <w:top w:val="none" w:sz="0" w:space="0" w:color="auto"/>
            <w:left w:val="none" w:sz="0" w:space="0" w:color="auto"/>
            <w:bottom w:val="none" w:sz="0" w:space="0" w:color="auto"/>
            <w:right w:val="none" w:sz="0" w:space="0" w:color="auto"/>
          </w:divBdr>
        </w:div>
        <w:div w:id="733552005">
          <w:marLeft w:val="0"/>
          <w:marRight w:val="0"/>
          <w:marTop w:val="0"/>
          <w:marBottom w:val="0"/>
          <w:divBdr>
            <w:top w:val="none" w:sz="0" w:space="0" w:color="auto"/>
            <w:left w:val="none" w:sz="0" w:space="0" w:color="auto"/>
            <w:bottom w:val="none" w:sz="0" w:space="0" w:color="auto"/>
            <w:right w:val="none" w:sz="0" w:space="0" w:color="auto"/>
          </w:divBdr>
        </w:div>
        <w:div w:id="16396941">
          <w:marLeft w:val="0"/>
          <w:marRight w:val="0"/>
          <w:marTop w:val="0"/>
          <w:marBottom w:val="0"/>
          <w:divBdr>
            <w:top w:val="none" w:sz="0" w:space="0" w:color="auto"/>
            <w:left w:val="none" w:sz="0" w:space="0" w:color="auto"/>
            <w:bottom w:val="none" w:sz="0" w:space="0" w:color="auto"/>
            <w:right w:val="none" w:sz="0" w:space="0" w:color="auto"/>
          </w:divBdr>
        </w:div>
        <w:div w:id="1650666506">
          <w:marLeft w:val="0"/>
          <w:marRight w:val="0"/>
          <w:marTop w:val="0"/>
          <w:marBottom w:val="0"/>
          <w:divBdr>
            <w:top w:val="none" w:sz="0" w:space="0" w:color="auto"/>
            <w:left w:val="none" w:sz="0" w:space="0" w:color="auto"/>
            <w:bottom w:val="none" w:sz="0" w:space="0" w:color="auto"/>
            <w:right w:val="none" w:sz="0" w:space="0" w:color="auto"/>
          </w:divBdr>
        </w:div>
        <w:div w:id="324170412">
          <w:marLeft w:val="0"/>
          <w:marRight w:val="0"/>
          <w:marTop w:val="0"/>
          <w:marBottom w:val="0"/>
          <w:divBdr>
            <w:top w:val="none" w:sz="0" w:space="0" w:color="auto"/>
            <w:left w:val="none" w:sz="0" w:space="0" w:color="auto"/>
            <w:bottom w:val="none" w:sz="0" w:space="0" w:color="auto"/>
            <w:right w:val="none" w:sz="0" w:space="0" w:color="auto"/>
          </w:divBdr>
        </w:div>
        <w:div w:id="1635792563">
          <w:marLeft w:val="0"/>
          <w:marRight w:val="0"/>
          <w:marTop w:val="0"/>
          <w:marBottom w:val="0"/>
          <w:divBdr>
            <w:top w:val="none" w:sz="0" w:space="0" w:color="auto"/>
            <w:left w:val="none" w:sz="0" w:space="0" w:color="auto"/>
            <w:bottom w:val="none" w:sz="0" w:space="0" w:color="auto"/>
            <w:right w:val="none" w:sz="0" w:space="0" w:color="auto"/>
          </w:divBdr>
        </w:div>
        <w:div w:id="2060470625">
          <w:marLeft w:val="0"/>
          <w:marRight w:val="0"/>
          <w:marTop w:val="0"/>
          <w:marBottom w:val="0"/>
          <w:divBdr>
            <w:top w:val="none" w:sz="0" w:space="0" w:color="auto"/>
            <w:left w:val="none" w:sz="0" w:space="0" w:color="auto"/>
            <w:bottom w:val="none" w:sz="0" w:space="0" w:color="auto"/>
            <w:right w:val="none" w:sz="0" w:space="0" w:color="auto"/>
          </w:divBdr>
        </w:div>
        <w:div w:id="977877816">
          <w:marLeft w:val="0"/>
          <w:marRight w:val="0"/>
          <w:marTop w:val="0"/>
          <w:marBottom w:val="0"/>
          <w:divBdr>
            <w:top w:val="none" w:sz="0" w:space="0" w:color="auto"/>
            <w:left w:val="none" w:sz="0" w:space="0" w:color="auto"/>
            <w:bottom w:val="none" w:sz="0" w:space="0" w:color="auto"/>
            <w:right w:val="none" w:sz="0" w:space="0" w:color="auto"/>
          </w:divBdr>
        </w:div>
        <w:div w:id="1995792857">
          <w:marLeft w:val="0"/>
          <w:marRight w:val="0"/>
          <w:marTop w:val="0"/>
          <w:marBottom w:val="0"/>
          <w:divBdr>
            <w:top w:val="none" w:sz="0" w:space="0" w:color="auto"/>
            <w:left w:val="none" w:sz="0" w:space="0" w:color="auto"/>
            <w:bottom w:val="none" w:sz="0" w:space="0" w:color="auto"/>
            <w:right w:val="none" w:sz="0" w:space="0" w:color="auto"/>
          </w:divBdr>
        </w:div>
        <w:div w:id="1874152524">
          <w:marLeft w:val="0"/>
          <w:marRight w:val="0"/>
          <w:marTop w:val="0"/>
          <w:marBottom w:val="0"/>
          <w:divBdr>
            <w:top w:val="none" w:sz="0" w:space="0" w:color="auto"/>
            <w:left w:val="none" w:sz="0" w:space="0" w:color="auto"/>
            <w:bottom w:val="none" w:sz="0" w:space="0" w:color="auto"/>
            <w:right w:val="none" w:sz="0" w:space="0" w:color="auto"/>
          </w:divBdr>
        </w:div>
        <w:div w:id="595208324">
          <w:marLeft w:val="0"/>
          <w:marRight w:val="0"/>
          <w:marTop w:val="0"/>
          <w:marBottom w:val="0"/>
          <w:divBdr>
            <w:top w:val="none" w:sz="0" w:space="0" w:color="auto"/>
            <w:left w:val="none" w:sz="0" w:space="0" w:color="auto"/>
            <w:bottom w:val="none" w:sz="0" w:space="0" w:color="auto"/>
            <w:right w:val="none" w:sz="0" w:space="0" w:color="auto"/>
          </w:divBdr>
        </w:div>
        <w:div w:id="1734113439">
          <w:marLeft w:val="0"/>
          <w:marRight w:val="0"/>
          <w:marTop w:val="0"/>
          <w:marBottom w:val="0"/>
          <w:divBdr>
            <w:top w:val="none" w:sz="0" w:space="0" w:color="auto"/>
            <w:left w:val="none" w:sz="0" w:space="0" w:color="auto"/>
            <w:bottom w:val="none" w:sz="0" w:space="0" w:color="auto"/>
            <w:right w:val="none" w:sz="0" w:space="0" w:color="auto"/>
          </w:divBdr>
        </w:div>
        <w:div w:id="349331429">
          <w:marLeft w:val="0"/>
          <w:marRight w:val="0"/>
          <w:marTop w:val="0"/>
          <w:marBottom w:val="0"/>
          <w:divBdr>
            <w:top w:val="none" w:sz="0" w:space="0" w:color="auto"/>
            <w:left w:val="none" w:sz="0" w:space="0" w:color="auto"/>
            <w:bottom w:val="none" w:sz="0" w:space="0" w:color="auto"/>
            <w:right w:val="none" w:sz="0" w:space="0" w:color="auto"/>
          </w:divBdr>
        </w:div>
        <w:div w:id="1743409430">
          <w:marLeft w:val="0"/>
          <w:marRight w:val="0"/>
          <w:marTop w:val="0"/>
          <w:marBottom w:val="0"/>
          <w:divBdr>
            <w:top w:val="none" w:sz="0" w:space="0" w:color="auto"/>
            <w:left w:val="none" w:sz="0" w:space="0" w:color="auto"/>
            <w:bottom w:val="none" w:sz="0" w:space="0" w:color="auto"/>
            <w:right w:val="none" w:sz="0" w:space="0" w:color="auto"/>
          </w:divBdr>
        </w:div>
        <w:div w:id="1470706004">
          <w:marLeft w:val="0"/>
          <w:marRight w:val="0"/>
          <w:marTop w:val="0"/>
          <w:marBottom w:val="0"/>
          <w:divBdr>
            <w:top w:val="none" w:sz="0" w:space="0" w:color="auto"/>
            <w:left w:val="none" w:sz="0" w:space="0" w:color="auto"/>
            <w:bottom w:val="none" w:sz="0" w:space="0" w:color="auto"/>
            <w:right w:val="none" w:sz="0" w:space="0" w:color="auto"/>
          </w:divBdr>
        </w:div>
        <w:div w:id="1751344893">
          <w:marLeft w:val="0"/>
          <w:marRight w:val="0"/>
          <w:marTop w:val="0"/>
          <w:marBottom w:val="0"/>
          <w:divBdr>
            <w:top w:val="none" w:sz="0" w:space="0" w:color="auto"/>
            <w:left w:val="none" w:sz="0" w:space="0" w:color="auto"/>
            <w:bottom w:val="none" w:sz="0" w:space="0" w:color="auto"/>
            <w:right w:val="none" w:sz="0" w:space="0" w:color="auto"/>
          </w:divBdr>
        </w:div>
        <w:div w:id="556817421">
          <w:marLeft w:val="0"/>
          <w:marRight w:val="0"/>
          <w:marTop w:val="0"/>
          <w:marBottom w:val="0"/>
          <w:divBdr>
            <w:top w:val="none" w:sz="0" w:space="0" w:color="auto"/>
            <w:left w:val="none" w:sz="0" w:space="0" w:color="auto"/>
            <w:bottom w:val="none" w:sz="0" w:space="0" w:color="auto"/>
            <w:right w:val="none" w:sz="0" w:space="0" w:color="auto"/>
          </w:divBdr>
        </w:div>
        <w:div w:id="2093038439">
          <w:marLeft w:val="0"/>
          <w:marRight w:val="0"/>
          <w:marTop w:val="0"/>
          <w:marBottom w:val="0"/>
          <w:divBdr>
            <w:top w:val="none" w:sz="0" w:space="0" w:color="auto"/>
            <w:left w:val="none" w:sz="0" w:space="0" w:color="auto"/>
            <w:bottom w:val="none" w:sz="0" w:space="0" w:color="auto"/>
            <w:right w:val="none" w:sz="0" w:space="0" w:color="auto"/>
          </w:divBdr>
        </w:div>
        <w:div w:id="2033412655">
          <w:marLeft w:val="0"/>
          <w:marRight w:val="0"/>
          <w:marTop w:val="0"/>
          <w:marBottom w:val="0"/>
          <w:divBdr>
            <w:top w:val="none" w:sz="0" w:space="0" w:color="auto"/>
            <w:left w:val="none" w:sz="0" w:space="0" w:color="auto"/>
            <w:bottom w:val="none" w:sz="0" w:space="0" w:color="auto"/>
            <w:right w:val="none" w:sz="0" w:space="0" w:color="auto"/>
          </w:divBdr>
        </w:div>
        <w:div w:id="701981047">
          <w:marLeft w:val="0"/>
          <w:marRight w:val="0"/>
          <w:marTop w:val="0"/>
          <w:marBottom w:val="0"/>
          <w:divBdr>
            <w:top w:val="none" w:sz="0" w:space="0" w:color="auto"/>
            <w:left w:val="none" w:sz="0" w:space="0" w:color="auto"/>
            <w:bottom w:val="none" w:sz="0" w:space="0" w:color="auto"/>
            <w:right w:val="none" w:sz="0" w:space="0" w:color="auto"/>
          </w:divBdr>
        </w:div>
        <w:div w:id="1108701296">
          <w:marLeft w:val="0"/>
          <w:marRight w:val="0"/>
          <w:marTop w:val="0"/>
          <w:marBottom w:val="0"/>
          <w:divBdr>
            <w:top w:val="none" w:sz="0" w:space="0" w:color="auto"/>
            <w:left w:val="none" w:sz="0" w:space="0" w:color="auto"/>
            <w:bottom w:val="none" w:sz="0" w:space="0" w:color="auto"/>
            <w:right w:val="none" w:sz="0" w:space="0" w:color="auto"/>
          </w:divBdr>
        </w:div>
        <w:div w:id="665279939">
          <w:marLeft w:val="0"/>
          <w:marRight w:val="0"/>
          <w:marTop w:val="0"/>
          <w:marBottom w:val="0"/>
          <w:divBdr>
            <w:top w:val="none" w:sz="0" w:space="0" w:color="auto"/>
            <w:left w:val="none" w:sz="0" w:space="0" w:color="auto"/>
            <w:bottom w:val="none" w:sz="0" w:space="0" w:color="auto"/>
            <w:right w:val="none" w:sz="0" w:space="0" w:color="auto"/>
          </w:divBdr>
        </w:div>
        <w:div w:id="949438375">
          <w:marLeft w:val="0"/>
          <w:marRight w:val="0"/>
          <w:marTop w:val="0"/>
          <w:marBottom w:val="0"/>
          <w:divBdr>
            <w:top w:val="none" w:sz="0" w:space="0" w:color="auto"/>
            <w:left w:val="none" w:sz="0" w:space="0" w:color="auto"/>
            <w:bottom w:val="none" w:sz="0" w:space="0" w:color="auto"/>
            <w:right w:val="none" w:sz="0" w:space="0" w:color="auto"/>
          </w:divBdr>
        </w:div>
        <w:div w:id="2066492655">
          <w:marLeft w:val="0"/>
          <w:marRight w:val="0"/>
          <w:marTop w:val="0"/>
          <w:marBottom w:val="0"/>
          <w:divBdr>
            <w:top w:val="none" w:sz="0" w:space="0" w:color="auto"/>
            <w:left w:val="none" w:sz="0" w:space="0" w:color="auto"/>
            <w:bottom w:val="none" w:sz="0" w:space="0" w:color="auto"/>
            <w:right w:val="none" w:sz="0" w:space="0" w:color="auto"/>
          </w:divBdr>
        </w:div>
        <w:div w:id="1701128171">
          <w:marLeft w:val="0"/>
          <w:marRight w:val="0"/>
          <w:marTop w:val="0"/>
          <w:marBottom w:val="0"/>
          <w:divBdr>
            <w:top w:val="none" w:sz="0" w:space="0" w:color="auto"/>
            <w:left w:val="none" w:sz="0" w:space="0" w:color="auto"/>
            <w:bottom w:val="none" w:sz="0" w:space="0" w:color="auto"/>
            <w:right w:val="none" w:sz="0" w:space="0" w:color="auto"/>
          </w:divBdr>
        </w:div>
        <w:div w:id="1813014536">
          <w:marLeft w:val="0"/>
          <w:marRight w:val="0"/>
          <w:marTop w:val="0"/>
          <w:marBottom w:val="0"/>
          <w:divBdr>
            <w:top w:val="none" w:sz="0" w:space="0" w:color="auto"/>
            <w:left w:val="none" w:sz="0" w:space="0" w:color="auto"/>
            <w:bottom w:val="none" w:sz="0" w:space="0" w:color="auto"/>
            <w:right w:val="none" w:sz="0" w:space="0" w:color="auto"/>
          </w:divBdr>
        </w:div>
        <w:div w:id="525295275">
          <w:marLeft w:val="0"/>
          <w:marRight w:val="0"/>
          <w:marTop w:val="0"/>
          <w:marBottom w:val="0"/>
          <w:divBdr>
            <w:top w:val="none" w:sz="0" w:space="0" w:color="auto"/>
            <w:left w:val="none" w:sz="0" w:space="0" w:color="auto"/>
            <w:bottom w:val="none" w:sz="0" w:space="0" w:color="auto"/>
            <w:right w:val="none" w:sz="0" w:space="0" w:color="auto"/>
          </w:divBdr>
        </w:div>
        <w:div w:id="2076928742">
          <w:marLeft w:val="0"/>
          <w:marRight w:val="0"/>
          <w:marTop w:val="0"/>
          <w:marBottom w:val="0"/>
          <w:divBdr>
            <w:top w:val="none" w:sz="0" w:space="0" w:color="auto"/>
            <w:left w:val="none" w:sz="0" w:space="0" w:color="auto"/>
            <w:bottom w:val="none" w:sz="0" w:space="0" w:color="auto"/>
            <w:right w:val="none" w:sz="0" w:space="0" w:color="auto"/>
          </w:divBdr>
        </w:div>
        <w:div w:id="548876700">
          <w:marLeft w:val="0"/>
          <w:marRight w:val="0"/>
          <w:marTop w:val="0"/>
          <w:marBottom w:val="0"/>
          <w:divBdr>
            <w:top w:val="none" w:sz="0" w:space="0" w:color="auto"/>
            <w:left w:val="none" w:sz="0" w:space="0" w:color="auto"/>
            <w:bottom w:val="none" w:sz="0" w:space="0" w:color="auto"/>
            <w:right w:val="none" w:sz="0" w:space="0" w:color="auto"/>
          </w:divBdr>
        </w:div>
        <w:div w:id="1267813140">
          <w:marLeft w:val="0"/>
          <w:marRight w:val="0"/>
          <w:marTop w:val="0"/>
          <w:marBottom w:val="0"/>
          <w:divBdr>
            <w:top w:val="none" w:sz="0" w:space="0" w:color="auto"/>
            <w:left w:val="none" w:sz="0" w:space="0" w:color="auto"/>
            <w:bottom w:val="none" w:sz="0" w:space="0" w:color="auto"/>
            <w:right w:val="none" w:sz="0" w:space="0" w:color="auto"/>
          </w:divBdr>
        </w:div>
        <w:div w:id="1670867117">
          <w:marLeft w:val="0"/>
          <w:marRight w:val="0"/>
          <w:marTop w:val="0"/>
          <w:marBottom w:val="0"/>
          <w:divBdr>
            <w:top w:val="none" w:sz="0" w:space="0" w:color="auto"/>
            <w:left w:val="none" w:sz="0" w:space="0" w:color="auto"/>
            <w:bottom w:val="none" w:sz="0" w:space="0" w:color="auto"/>
            <w:right w:val="none" w:sz="0" w:space="0" w:color="auto"/>
          </w:divBdr>
        </w:div>
        <w:div w:id="1469786014">
          <w:marLeft w:val="0"/>
          <w:marRight w:val="0"/>
          <w:marTop w:val="0"/>
          <w:marBottom w:val="0"/>
          <w:divBdr>
            <w:top w:val="none" w:sz="0" w:space="0" w:color="auto"/>
            <w:left w:val="none" w:sz="0" w:space="0" w:color="auto"/>
            <w:bottom w:val="none" w:sz="0" w:space="0" w:color="auto"/>
            <w:right w:val="none" w:sz="0" w:space="0" w:color="auto"/>
          </w:divBdr>
        </w:div>
        <w:div w:id="1848710584">
          <w:marLeft w:val="0"/>
          <w:marRight w:val="0"/>
          <w:marTop w:val="0"/>
          <w:marBottom w:val="0"/>
          <w:divBdr>
            <w:top w:val="none" w:sz="0" w:space="0" w:color="auto"/>
            <w:left w:val="none" w:sz="0" w:space="0" w:color="auto"/>
            <w:bottom w:val="none" w:sz="0" w:space="0" w:color="auto"/>
            <w:right w:val="none" w:sz="0" w:space="0" w:color="auto"/>
          </w:divBdr>
        </w:div>
        <w:div w:id="1104114612">
          <w:marLeft w:val="0"/>
          <w:marRight w:val="0"/>
          <w:marTop w:val="0"/>
          <w:marBottom w:val="0"/>
          <w:divBdr>
            <w:top w:val="none" w:sz="0" w:space="0" w:color="auto"/>
            <w:left w:val="none" w:sz="0" w:space="0" w:color="auto"/>
            <w:bottom w:val="none" w:sz="0" w:space="0" w:color="auto"/>
            <w:right w:val="none" w:sz="0" w:space="0" w:color="auto"/>
          </w:divBdr>
        </w:div>
        <w:div w:id="2014986670">
          <w:marLeft w:val="0"/>
          <w:marRight w:val="0"/>
          <w:marTop w:val="0"/>
          <w:marBottom w:val="0"/>
          <w:divBdr>
            <w:top w:val="none" w:sz="0" w:space="0" w:color="auto"/>
            <w:left w:val="none" w:sz="0" w:space="0" w:color="auto"/>
            <w:bottom w:val="none" w:sz="0" w:space="0" w:color="auto"/>
            <w:right w:val="none" w:sz="0" w:space="0" w:color="auto"/>
          </w:divBdr>
        </w:div>
        <w:div w:id="1508867003">
          <w:marLeft w:val="0"/>
          <w:marRight w:val="0"/>
          <w:marTop w:val="0"/>
          <w:marBottom w:val="0"/>
          <w:divBdr>
            <w:top w:val="none" w:sz="0" w:space="0" w:color="auto"/>
            <w:left w:val="none" w:sz="0" w:space="0" w:color="auto"/>
            <w:bottom w:val="none" w:sz="0" w:space="0" w:color="auto"/>
            <w:right w:val="none" w:sz="0" w:space="0" w:color="auto"/>
          </w:divBdr>
        </w:div>
        <w:div w:id="1584144609">
          <w:marLeft w:val="0"/>
          <w:marRight w:val="0"/>
          <w:marTop w:val="0"/>
          <w:marBottom w:val="0"/>
          <w:divBdr>
            <w:top w:val="none" w:sz="0" w:space="0" w:color="auto"/>
            <w:left w:val="none" w:sz="0" w:space="0" w:color="auto"/>
            <w:bottom w:val="none" w:sz="0" w:space="0" w:color="auto"/>
            <w:right w:val="none" w:sz="0" w:space="0" w:color="auto"/>
          </w:divBdr>
        </w:div>
        <w:div w:id="2021156670">
          <w:marLeft w:val="0"/>
          <w:marRight w:val="0"/>
          <w:marTop w:val="0"/>
          <w:marBottom w:val="0"/>
          <w:divBdr>
            <w:top w:val="none" w:sz="0" w:space="0" w:color="auto"/>
            <w:left w:val="none" w:sz="0" w:space="0" w:color="auto"/>
            <w:bottom w:val="none" w:sz="0" w:space="0" w:color="auto"/>
            <w:right w:val="none" w:sz="0" w:space="0" w:color="auto"/>
          </w:divBdr>
        </w:div>
        <w:div w:id="1734229606">
          <w:marLeft w:val="0"/>
          <w:marRight w:val="0"/>
          <w:marTop w:val="0"/>
          <w:marBottom w:val="0"/>
          <w:divBdr>
            <w:top w:val="none" w:sz="0" w:space="0" w:color="auto"/>
            <w:left w:val="none" w:sz="0" w:space="0" w:color="auto"/>
            <w:bottom w:val="none" w:sz="0" w:space="0" w:color="auto"/>
            <w:right w:val="none" w:sz="0" w:space="0" w:color="auto"/>
          </w:divBdr>
        </w:div>
        <w:div w:id="1549417974">
          <w:marLeft w:val="0"/>
          <w:marRight w:val="0"/>
          <w:marTop w:val="0"/>
          <w:marBottom w:val="0"/>
          <w:divBdr>
            <w:top w:val="none" w:sz="0" w:space="0" w:color="auto"/>
            <w:left w:val="none" w:sz="0" w:space="0" w:color="auto"/>
            <w:bottom w:val="none" w:sz="0" w:space="0" w:color="auto"/>
            <w:right w:val="none" w:sz="0" w:space="0" w:color="auto"/>
          </w:divBdr>
        </w:div>
        <w:div w:id="382561448">
          <w:marLeft w:val="0"/>
          <w:marRight w:val="0"/>
          <w:marTop w:val="0"/>
          <w:marBottom w:val="0"/>
          <w:divBdr>
            <w:top w:val="none" w:sz="0" w:space="0" w:color="auto"/>
            <w:left w:val="none" w:sz="0" w:space="0" w:color="auto"/>
            <w:bottom w:val="none" w:sz="0" w:space="0" w:color="auto"/>
            <w:right w:val="none" w:sz="0" w:space="0" w:color="auto"/>
          </w:divBdr>
        </w:div>
        <w:div w:id="2443539">
          <w:marLeft w:val="0"/>
          <w:marRight w:val="0"/>
          <w:marTop w:val="0"/>
          <w:marBottom w:val="0"/>
          <w:divBdr>
            <w:top w:val="none" w:sz="0" w:space="0" w:color="auto"/>
            <w:left w:val="none" w:sz="0" w:space="0" w:color="auto"/>
            <w:bottom w:val="none" w:sz="0" w:space="0" w:color="auto"/>
            <w:right w:val="none" w:sz="0" w:space="0" w:color="auto"/>
          </w:divBdr>
        </w:div>
        <w:div w:id="1939480793">
          <w:marLeft w:val="0"/>
          <w:marRight w:val="0"/>
          <w:marTop w:val="0"/>
          <w:marBottom w:val="0"/>
          <w:divBdr>
            <w:top w:val="none" w:sz="0" w:space="0" w:color="auto"/>
            <w:left w:val="none" w:sz="0" w:space="0" w:color="auto"/>
            <w:bottom w:val="none" w:sz="0" w:space="0" w:color="auto"/>
            <w:right w:val="none" w:sz="0" w:space="0" w:color="auto"/>
          </w:divBdr>
        </w:div>
        <w:div w:id="736974047">
          <w:marLeft w:val="0"/>
          <w:marRight w:val="0"/>
          <w:marTop w:val="0"/>
          <w:marBottom w:val="0"/>
          <w:divBdr>
            <w:top w:val="none" w:sz="0" w:space="0" w:color="auto"/>
            <w:left w:val="none" w:sz="0" w:space="0" w:color="auto"/>
            <w:bottom w:val="none" w:sz="0" w:space="0" w:color="auto"/>
            <w:right w:val="none" w:sz="0" w:space="0" w:color="auto"/>
          </w:divBdr>
        </w:div>
        <w:div w:id="458769419">
          <w:marLeft w:val="0"/>
          <w:marRight w:val="0"/>
          <w:marTop w:val="0"/>
          <w:marBottom w:val="0"/>
          <w:divBdr>
            <w:top w:val="none" w:sz="0" w:space="0" w:color="auto"/>
            <w:left w:val="none" w:sz="0" w:space="0" w:color="auto"/>
            <w:bottom w:val="none" w:sz="0" w:space="0" w:color="auto"/>
            <w:right w:val="none" w:sz="0" w:space="0" w:color="auto"/>
          </w:divBdr>
        </w:div>
        <w:div w:id="85811619">
          <w:marLeft w:val="0"/>
          <w:marRight w:val="0"/>
          <w:marTop w:val="0"/>
          <w:marBottom w:val="0"/>
          <w:divBdr>
            <w:top w:val="none" w:sz="0" w:space="0" w:color="auto"/>
            <w:left w:val="none" w:sz="0" w:space="0" w:color="auto"/>
            <w:bottom w:val="none" w:sz="0" w:space="0" w:color="auto"/>
            <w:right w:val="none" w:sz="0" w:space="0" w:color="auto"/>
          </w:divBdr>
        </w:div>
        <w:div w:id="1507672449">
          <w:marLeft w:val="0"/>
          <w:marRight w:val="0"/>
          <w:marTop w:val="0"/>
          <w:marBottom w:val="0"/>
          <w:divBdr>
            <w:top w:val="none" w:sz="0" w:space="0" w:color="auto"/>
            <w:left w:val="none" w:sz="0" w:space="0" w:color="auto"/>
            <w:bottom w:val="none" w:sz="0" w:space="0" w:color="auto"/>
            <w:right w:val="none" w:sz="0" w:space="0" w:color="auto"/>
          </w:divBdr>
        </w:div>
        <w:div w:id="305159603">
          <w:marLeft w:val="0"/>
          <w:marRight w:val="0"/>
          <w:marTop w:val="0"/>
          <w:marBottom w:val="0"/>
          <w:divBdr>
            <w:top w:val="none" w:sz="0" w:space="0" w:color="auto"/>
            <w:left w:val="none" w:sz="0" w:space="0" w:color="auto"/>
            <w:bottom w:val="none" w:sz="0" w:space="0" w:color="auto"/>
            <w:right w:val="none" w:sz="0" w:space="0" w:color="auto"/>
          </w:divBdr>
        </w:div>
        <w:div w:id="888494188">
          <w:marLeft w:val="0"/>
          <w:marRight w:val="0"/>
          <w:marTop w:val="0"/>
          <w:marBottom w:val="0"/>
          <w:divBdr>
            <w:top w:val="none" w:sz="0" w:space="0" w:color="auto"/>
            <w:left w:val="none" w:sz="0" w:space="0" w:color="auto"/>
            <w:bottom w:val="none" w:sz="0" w:space="0" w:color="auto"/>
            <w:right w:val="none" w:sz="0" w:space="0" w:color="auto"/>
          </w:divBdr>
        </w:div>
        <w:div w:id="971862812">
          <w:marLeft w:val="0"/>
          <w:marRight w:val="0"/>
          <w:marTop w:val="0"/>
          <w:marBottom w:val="0"/>
          <w:divBdr>
            <w:top w:val="none" w:sz="0" w:space="0" w:color="auto"/>
            <w:left w:val="none" w:sz="0" w:space="0" w:color="auto"/>
            <w:bottom w:val="none" w:sz="0" w:space="0" w:color="auto"/>
            <w:right w:val="none" w:sz="0" w:space="0" w:color="auto"/>
          </w:divBdr>
        </w:div>
        <w:div w:id="403533587">
          <w:marLeft w:val="0"/>
          <w:marRight w:val="0"/>
          <w:marTop w:val="0"/>
          <w:marBottom w:val="0"/>
          <w:divBdr>
            <w:top w:val="none" w:sz="0" w:space="0" w:color="auto"/>
            <w:left w:val="none" w:sz="0" w:space="0" w:color="auto"/>
            <w:bottom w:val="none" w:sz="0" w:space="0" w:color="auto"/>
            <w:right w:val="none" w:sz="0" w:space="0" w:color="auto"/>
          </w:divBdr>
        </w:div>
        <w:div w:id="1370296079">
          <w:marLeft w:val="0"/>
          <w:marRight w:val="0"/>
          <w:marTop w:val="0"/>
          <w:marBottom w:val="0"/>
          <w:divBdr>
            <w:top w:val="none" w:sz="0" w:space="0" w:color="auto"/>
            <w:left w:val="none" w:sz="0" w:space="0" w:color="auto"/>
            <w:bottom w:val="none" w:sz="0" w:space="0" w:color="auto"/>
            <w:right w:val="none" w:sz="0" w:space="0" w:color="auto"/>
          </w:divBdr>
        </w:div>
        <w:div w:id="1109933831">
          <w:marLeft w:val="0"/>
          <w:marRight w:val="0"/>
          <w:marTop w:val="0"/>
          <w:marBottom w:val="0"/>
          <w:divBdr>
            <w:top w:val="none" w:sz="0" w:space="0" w:color="auto"/>
            <w:left w:val="none" w:sz="0" w:space="0" w:color="auto"/>
            <w:bottom w:val="none" w:sz="0" w:space="0" w:color="auto"/>
            <w:right w:val="none" w:sz="0" w:space="0" w:color="auto"/>
          </w:divBdr>
        </w:div>
        <w:div w:id="2050762602">
          <w:marLeft w:val="0"/>
          <w:marRight w:val="0"/>
          <w:marTop w:val="0"/>
          <w:marBottom w:val="0"/>
          <w:divBdr>
            <w:top w:val="none" w:sz="0" w:space="0" w:color="auto"/>
            <w:left w:val="none" w:sz="0" w:space="0" w:color="auto"/>
            <w:bottom w:val="none" w:sz="0" w:space="0" w:color="auto"/>
            <w:right w:val="none" w:sz="0" w:space="0" w:color="auto"/>
          </w:divBdr>
        </w:div>
        <w:div w:id="507527017">
          <w:marLeft w:val="0"/>
          <w:marRight w:val="0"/>
          <w:marTop w:val="0"/>
          <w:marBottom w:val="0"/>
          <w:divBdr>
            <w:top w:val="none" w:sz="0" w:space="0" w:color="auto"/>
            <w:left w:val="none" w:sz="0" w:space="0" w:color="auto"/>
            <w:bottom w:val="none" w:sz="0" w:space="0" w:color="auto"/>
            <w:right w:val="none" w:sz="0" w:space="0" w:color="auto"/>
          </w:divBdr>
        </w:div>
        <w:div w:id="818617598">
          <w:marLeft w:val="0"/>
          <w:marRight w:val="0"/>
          <w:marTop w:val="0"/>
          <w:marBottom w:val="0"/>
          <w:divBdr>
            <w:top w:val="none" w:sz="0" w:space="0" w:color="auto"/>
            <w:left w:val="none" w:sz="0" w:space="0" w:color="auto"/>
            <w:bottom w:val="none" w:sz="0" w:space="0" w:color="auto"/>
            <w:right w:val="none" w:sz="0" w:space="0" w:color="auto"/>
          </w:divBdr>
        </w:div>
        <w:div w:id="1539122007">
          <w:marLeft w:val="0"/>
          <w:marRight w:val="0"/>
          <w:marTop w:val="0"/>
          <w:marBottom w:val="0"/>
          <w:divBdr>
            <w:top w:val="none" w:sz="0" w:space="0" w:color="auto"/>
            <w:left w:val="none" w:sz="0" w:space="0" w:color="auto"/>
            <w:bottom w:val="none" w:sz="0" w:space="0" w:color="auto"/>
            <w:right w:val="none" w:sz="0" w:space="0" w:color="auto"/>
          </w:divBdr>
        </w:div>
        <w:div w:id="1537815039">
          <w:marLeft w:val="0"/>
          <w:marRight w:val="0"/>
          <w:marTop w:val="0"/>
          <w:marBottom w:val="0"/>
          <w:divBdr>
            <w:top w:val="none" w:sz="0" w:space="0" w:color="auto"/>
            <w:left w:val="none" w:sz="0" w:space="0" w:color="auto"/>
            <w:bottom w:val="none" w:sz="0" w:space="0" w:color="auto"/>
            <w:right w:val="none" w:sz="0" w:space="0" w:color="auto"/>
          </w:divBdr>
        </w:div>
        <w:div w:id="368460362">
          <w:marLeft w:val="0"/>
          <w:marRight w:val="0"/>
          <w:marTop w:val="0"/>
          <w:marBottom w:val="0"/>
          <w:divBdr>
            <w:top w:val="none" w:sz="0" w:space="0" w:color="auto"/>
            <w:left w:val="none" w:sz="0" w:space="0" w:color="auto"/>
            <w:bottom w:val="none" w:sz="0" w:space="0" w:color="auto"/>
            <w:right w:val="none" w:sz="0" w:space="0" w:color="auto"/>
          </w:divBdr>
        </w:div>
        <w:div w:id="510263450">
          <w:marLeft w:val="0"/>
          <w:marRight w:val="0"/>
          <w:marTop w:val="0"/>
          <w:marBottom w:val="0"/>
          <w:divBdr>
            <w:top w:val="none" w:sz="0" w:space="0" w:color="auto"/>
            <w:left w:val="none" w:sz="0" w:space="0" w:color="auto"/>
            <w:bottom w:val="none" w:sz="0" w:space="0" w:color="auto"/>
            <w:right w:val="none" w:sz="0" w:space="0" w:color="auto"/>
          </w:divBdr>
        </w:div>
        <w:div w:id="612130405">
          <w:marLeft w:val="0"/>
          <w:marRight w:val="0"/>
          <w:marTop w:val="0"/>
          <w:marBottom w:val="0"/>
          <w:divBdr>
            <w:top w:val="none" w:sz="0" w:space="0" w:color="auto"/>
            <w:left w:val="none" w:sz="0" w:space="0" w:color="auto"/>
            <w:bottom w:val="none" w:sz="0" w:space="0" w:color="auto"/>
            <w:right w:val="none" w:sz="0" w:space="0" w:color="auto"/>
          </w:divBdr>
        </w:div>
        <w:div w:id="2048601510">
          <w:marLeft w:val="0"/>
          <w:marRight w:val="0"/>
          <w:marTop w:val="0"/>
          <w:marBottom w:val="0"/>
          <w:divBdr>
            <w:top w:val="none" w:sz="0" w:space="0" w:color="auto"/>
            <w:left w:val="none" w:sz="0" w:space="0" w:color="auto"/>
            <w:bottom w:val="none" w:sz="0" w:space="0" w:color="auto"/>
            <w:right w:val="none" w:sz="0" w:space="0" w:color="auto"/>
          </w:divBdr>
        </w:div>
        <w:div w:id="1078864297">
          <w:marLeft w:val="0"/>
          <w:marRight w:val="0"/>
          <w:marTop w:val="0"/>
          <w:marBottom w:val="0"/>
          <w:divBdr>
            <w:top w:val="none" w:sz="0" w:space="0" w:color="auto"/>
            <w:left w:val="none" w:sz="0" w:space="0" w:color="auto"/>
            <w:bottom w:val="none" w:sz="0" w:space="0" w:color="auto"/>
            <w:right w:val="none" w:sz="0" w:space="0" w:color="auto"/>
          </w:divBdr>
        </w:div>
        <w:div w:id="1583248697">
          <w:marLeft w:val="0"/>
          <w:marRight w:val="0"/>
          <w:marTop w:val="0"/>
          <w:marBottom w:val="0"/>
          <w:divBdr>
            <w:top w:val="none" w:sz="0" w:space="0" w:color="auto"/>
            <w:left w:val="none" w:sz="0" w:space="0" w:color="auto"/>
            <w:bottom w:val="none" w:sz="0" w:space="0" w:color="auto"/>
            <w:right w:val="none" w:sz="0" w:space="0" w:color="auto"/>
          </w:divBdr>
        </w:div>
        <w:div w:id="1055087438">
          <w:marLeft w:val="0"/>
          <w:marRight w:val="0"/>
          <w:marTop w:val="0"/>
          <w:marBottom w:val="0"/>
          <w:divBdr>
            <w:top w:val="none" w:sz="0" w:space="0" w:color="auto"/>
            <w:left w:val="none" w:sz="0" w:space="0" w:color="auto"/>
            <w:bottom w:val="none" w:sz="0" w:space="0" w:color="auto"/>
            <w:right w:val="none" w:sz="0" w:space="0" w:color="auto"/>
          </w:divBdr>
        </w:div>
        <w:div w:id="1336297196">
          <w:marLeft w:val="0"/>
          <w:marRight w:val="0"/>
          <w:marTop w:val="0"/>
          <w:marBottom w:val="0"/>
          <w:divBdr>
            <w:top w:val="none" w:sz="0" w:space="0" w:color="auto"/>
            <w:left w:val="none" w:sz="0" w:space="0" w:color="auto"/>
            <w:bottom w:val="none" w:sz="0" w:space="0" w:color="auto"/>
            <w:right w:val="none" w:sz="0" w:space="0" w:color="auto"/>
          </w:divBdr>
        </w:div>
        <w:div w:id="1977757649">
          <w:marLeft w:val="0"/>
          <w:marRight w:val="0"/>
          <w:marTop w:val="0"/>
          <w:marBottom w:val="0"/>
          <w:divBdr>
            <w:top w:val="none" w:sz="0" w:space="0" w:color="auto"/>
            <w:left w:val="none" w:sz="0" w:space="0" w:color="auto"/>
            <w:bottom w:val="none" w:sz="0" w:space="0" w:color="auto"/>
            <w:right w:val="none" w:sz="0" w:space="0" w:color="auto"/>
          </w:divBdr>
        </w:div>
        <w:div w:id="64960630">
          <w:marLeft w:val="0"/>
          <w:marRight w:val="0"/>
          <w:marTop w:val="0"/>
          <w:marBottom w:val="0"/>
          <w:divBdr>
            <w:top w:val="none" w:sz="0" w:space="0" w:color="auto"/>
            <w:left w:val="none" w:sz="0" w:space="0" w:color="auto"/>
            <w:bottom w:val="none" w:sz="0" w:space="0" w:color="auto"/>
            <w:right w:val="none" w:sz="0" w:space="0" w:color="auto"/>
          </w:divBdr>
        </w:div>
        <w:div w:id="609507502">
          <w:marLeft w:val="0"/>
          <w:marRight w:val="0"/>
          <w:marTop w:val="0"/>
          <w:marBottom w:val="0"/>
          <w:divBdr>
            <w:top w:val="none" w:sz="0" w:space="0" w:color="auto"/>
            <w:left w:val="none" w:sz="0" w:space="0" w:color="auto"/>
            <w:bottom w:val="none" w:sz="0" w:space="0" w:color="auto"/>
            <w:right w:val="none" w:sz="0" w:space="0" w:color="auto"/>
          </w:divBdr>
        </w:div>
        <w:div w:id="682978390">
          <w:marLeft w:val="0"/>
          <w:marRight w:val="0"/>
          <w:marTop w:val="0"/>
          <w:marBottom w:val="0"/>
          <w:divBdr>
            <w:top w:val="none" w:sz="0" w:space="0" w:color="auto"/>
            <w:left w:val="none" w:sz="0" w:space="0" w:color="auto"/>
            <w:bottom w:val="none" w:sz="0" w:space="0" w:color="auto"/>
            <w:right w:val="none" w:sz="0" w:space="0" w:color="auto"/>
          </w:divBdr>
        </w:div>
        <w:div w:id="1152524698">
          <w:marLeft w:val="0"/>
          <w:marRight w:val="0"/>
          <w:marTop w:val="0"/>
          <w:marBottom w:val="0"/>
          <w:divBdr>
            <w:top w:val="none" w:sz="0" w:space="0" w:color="auto"/>
            <w:left w:val="none" w:sz="0" w:space="0" w:color="auto"/>
            <w:bottom w:val="none" w:sz="0" w:space="0" w:color="auto"/>
            <w:right w:val="none" w:sz="0" w:space="0" w:color="auto"/>
          </w:divBdr>
        </w:div>
        <w:div w:id="308944386">
          <w:marLeft w:val="0"/>
          <w:marRight w:val="0"/>
          <w:marTop w:val="0"/>
          <w:marBottom w:val="0"/>
          <w:divBdr>
            <w:top w:val="none" w:sz="0" w:space="0" w:color="auto"/>
            <w:left w:val="none" w:sz="0" w:space="0" w:color="auto"/>
            <w:bottom w:val="none" w:sz="0" w:space="0" w:color="auto"/>
            <w:right w:val="none" w:sz="0" w:space="0" w:color="auto"/>
          </w:divBdr>
        </w:div>
        <w:div w:id="1318460594">
          <w:marLeft w:val="0"/>
          <w:marRight w:val="0"/>
          <w:marTop w:val="0"/>
          <w:marBottom w:val="0"/>
          <w:divBdr>
            <w:top w:val="none" w:sz="0" w:space="0" w:color="auto"/>
            <w:left w:val="none" w:sz="0" w:space="0" w:color="auto"/>
            <w:bottom w:val="none" w:sz="0" w:space="0" w:color="auto"/>
            <w:right w:val="none" w:sz="0" w:space="0" w:color="auto"/>
          </w:divBdr>
        </w:div>
        <w:div w:id="1777484151">
          <w:marLeft w:val="0"/>
          <w:marRight w:val="0"/>
          <w:marTop w:val="0"/>
          <w:marBottom w:val="0"/>
          <w:divBdr>
            <w:top w:val="none" w:sz="0" w:space="0" w:color="auto"/>
            <w:left w:val="none" w:sz="0" w:space="0" w:color="auto"/>
            <w:bottom w:val="none" w:sz="0" w:space="0" w:color="auto"/>
            <w:right w:val="none" w:sz="0" w:space="0" w:color="auto"/>
          </w:divBdr>
        </w:div>
        <w:div w:id="181163285">
          <w:marLeft w:val="0"/>
          <w:marRight w:val="0"/>
          <w:marTop w:val="0"/>
          <w:marBottom w:val="0"/>
          <w:divBdr>
            <w:top w:val="none" w:sz="0" w:space="0" w:color="auto"/>
            <w:left w:val="none" w:sz="0" w:space="0" w:color="auto"/>
            <w:bottom w:val="none" w:sz="0" w:space="0" w:color="auto"/>
            <w:right w:val="none" w:sz="0" w:space="0" w:color="auto"/>
          </w:divBdr>
        </w:div>
        <w:div w:id="696586480">
          <w:marLeft w:val="0"/>
          <w:marRight w:val="0"/>
          <w:marTop w:val="0"/>
          <w:marBottom w:val="0"/>
          <w:divBdr>
            <w:top w:val="none" w:sz="0" w:space="0" w:color="auto"/>
            <w:left w:val="none" w:sz="0" w:space="0" w:color="auto"/>
            <w:bottom w:val="none" w:sz="0" w:space="0" w:color="auto"/>
            <w:right w:val="none" w:sz="0" w:space="0" w:color="auto"/>
          </w:divBdr>
        </w:div>
        <w:div w:id="1558004704">
          <w:marLeft w:val="0"/>
          <w:marRight w:val="0"/>
          <w:marTop w:val="0"/>
          <w:marBottom w:val="0"/>
          <w:divBdr>
            <w:top w:val="none" w:sz="0" w:space="0" w:color="auto"/>
            <w:left w:val="none" w:sz="0" w:space="0" w:color="auto"/>
            <w:bottom w:val="none" w:sz="0" w:space="0" w:color="auto"/>
            <w:right w:val="none" w:sz="0" w:space="0" w:color="auto"/>
          </w:divBdr>
        </w:div>
        <w:div w:id="2097708220">
          <w:marLeft w:val="0"/>
          <w:marRight w:val="0"/>
          <w:marTop w:val="0"/>
          <w:marBottom w:val="0"/>
          <w:divBdr>
            <w:top w:val="none" w:sz="0" w:space="0" w:color="auto"/>
            <w:left w:val="none" w:sz="0" w:space="0" w:color="auto"/>
            <w:bottom w:val="none" w:sz="0" w:space="0" w:color="auto"/>
            <w:right w:val="none" w:sz="0" w:space="0" w:color="auto"/>
          </w:divBdr>
        </w:div>
        <w:div w:id="1593199105">
          <w:marLeft w:val="0"/>
          <w:marRight w:val="0"/>
          <w:marTop w:val="0"/>
          <w:marBottom w:val="0"/>
          <w:divBdr>
            <w:top w:val="none" w:sz="0" w:space="0" w:color="auto"/>
            <w:left w:val="none" w:sz="0" w:space="0" w:color="auto"/>
            <w:bottom w:val="none" w:sz="0" w:space="0" w:color="auto"/>
            <w:right w:val="none" w:sz="0" w:space="0" w:color="auto"/>
          </w:divBdr>
        </w:div>
        <w:div w:id="766658269">
          <w:marLeft w:val="0"/>
          <w:marRight w:val="0"/>
          <w:marTop w:val="0"/>
          <w:marBottom w:val="0"/>
          <w:divBdr>
            <w:top w:val="none" w:sz="0" w:space="0" w:color="auto"/>
            <w:left w:val="none" w:sz="0" w:space="0" w:color="auto"/>
            <w:bottom w:val="none" w:sz="0" w:space="0" w:color="auto"/>
            <w:right w:val="none" w:sz="0" w:space="0" w:color="auto"/>
          </w:divBdr>
        </w:div>
        <w:div w:id="789855836">
          <w:marLeft w:val="0"/>
          <w:marRight w:val="0"/>
          <w:marTop w:val="0"/>
          <w:marBottom w:val="0"/>
          <w:divBdr>
            <w:top w:val="none" w:sz="0" w:space="0" w:color="auto"/>
            <w:left w:val="none" w:sz="0" w:space="0" w:color="auto"/>
            <w:bottom w:val="none" w:sz="0" w:space="0" w:color="auto"/>
            <w:right w:val="none" w:sz="0" w:space="0" w:color="auto"/>
          </w:divBdr>
        </w:div>
        <w:div w:id="1656494263">
          <w:marLeft w:val="0"/>
          <w:marRight w:val="0"/>
          <w:marTop w:val="0"/>
          <w:marBottom w:val="0"/>
          <w:divBdr>
            <w:top w:val="none" w:sz="0" w:space="0" w:color="auto"/>
            <w:left w:val="none" w:sz="0" w:space="0" w:color="auto"/>
            <w:bottom w:val="none" w:sz="0" w:space="0" w:color="auto"/>
            <w:right w:val="none" w:sz="0" w:space="0" w:color="auto"/>
          </w:divBdr>
        </w:div>
        <w:div w:id="1029530105">
          <w:marLeft w:val="0"/>
          <w:marRight w:val="0"/>
          <w:marTop w:val="0"/>
          <w:marBottom w:val="0"/>
          <w:divBdr>
            <w:top w:val="none" w:sz="0" w:space="0" w:color="auto"/>
            <w:left w:val="none" w:sz="0" w:space="0" w:color="auto"/>
            <w:bottom w:val="none" w:sz="0" w:space="0" w:color="auto"/>
            <w:right w:val="none" w:sz="0" w:space="0" w:color="auto"/>
          </w:divBdr>
        </w:div>
        <w:div w:id="576326408">
          <w:marLeft w:val="0"/>
          <w:marRight w:val="0"/>
          <w:marTop w:val="0"/>
          <w:marBottom w:val="0"/>
          <w:divBdr>
            <w:top w:val="none" w:sz="0" w:space="0" w:color="auto"/>
            <w:left w:val="none" w:sz="0" w:space="0" w:color="auto"/>
            <w:bottom w:val="none" w:sz="0" w:space="0" w:color="auto"/>
            <w:right w:val="none" w:sz="0" w:space="0" w:color="auto"/>
          </w:divBdr>
        </w:div>
        <w:div w:id="1142383540">
          <w:marLeft w:val="0"/>
          <w:marRight w:val="0"/>
          <w:marTop w:val="0"/>
          <w:marBottom w:val="0"/>
          <w:divBdr>
            <w:top w:val="none" w:sz="0" w:space="0" w:color="auto"/>
            <w:left w:val="none" w:sz="0" w:space="0" w:color="auto"/>
            <w:bottom w:val="none" w:sz="0" w:space="0" w:color="auto"/>
            <w:right w:val="none" w:sz="0" w:space="0" w:color="auto"/>
          </w:divBdr>
        </w:div>
        <w:div w:id="162474753">
          <w:marLeft w:val="0"/>
          <w:marRight w:val="0"/>
          <w:marTop w:val="0"/>
          <w:marBottom w:val="0"/>
          <w:divBdr>
            <w:top w:val="none" w:sz="0" w:space="0" w:color="auto"/>
            <w:left w:val="none" w:sz="0" w:space="0" w:color="auto"/>
            <w:bottom w:val="none" w:sz="0" w:space="0" w:color="auto"/>
            <w:right w:val="none" w:sz="0" w:space="0" w:color="auto"/>
          </w:divBdr>
        </w:div>
        <w:div w:id="1716539906">
          <w:marLeft w:val="0"/>
          <w:marRight w:val="0"/>
          <w:marTop w:val="0"/>
          <w:marBottom w:val="0"/>
          <w:divBdr>
            <w:top w:val="none" w:sz="0" w:space="0" w:color="auto"/>
            <w:left w:val="none" w:sz="0" w:space="0" w:color="auto"/>
            <w:bottom w:val="none" w:sz="0" w:space="0" w:color="auto"/>
            <w:right w:val="none" w:sz="0" w:space="0" w:color="auto"/>
          </w:divBdr>
        </w:div>
        <w:div w:id="680738382">
          <w:marLeft w:val="0"/>
          <w:marRight w:val="0"/>
          <w:marTop w:val="0"/>
          <w:marBottom w:val="0"/>
          <w:divBdr>
            <w:top w:val="none" w:sz="0" w:space="0" w:color="auto"/>
            <w:left w:val="none" w:sz="0" w:space="0" w:color="auto"/>
            <w:bottom w:val="none" w:sz="0" w:space="0" w:color="auto"/>
            <w:right w:val="none" w:sz="0" w:space="0" w:color="auto"/>
          </w:divBdr>
        </w:div>
        <w:div w:id="1551839226">
          <w:marLeft w:val="0"/>
          <w:marRight w:val="0"/>
          <w:marTop w:val="0"/>
          <w:marBottom w:val="0"/>
          <w:divBdr>
            <w:top w:val="none" w:sz="0" w:space="0" w:color="auto"/>
            <w:left w:val="none" w:sz="0" w:space="0" w:color="auto"/>
            <w:bottom w:val="none" w:sz="0" w:space="0" w:color="auto"/>
            <w:right w:val="none" w:sz="0" w:space="0" w:color="auto"/>
          </w:divBdr>
        </w:div>
        <w:div w:id="800002727">
          <w:marLeft w:val="0"/>
          <w:marRight w:val="0"/>
          <w:marTop w:val="0"/>
          <w:marBottom w:val="0"/>
          <w:divBdr>
            <w:top w:val="none" w:sz="0" w:space="0" w:color="auto"/>
            <w:left w:val="none" w:sz="0" w:space="0" w:color="auto"/>
            <w:bottom w:val="none" w:sz="0" w:space="0" w:color="auto"/>
            <w:right w:val="none" w:sz="0" w:space="0" w:color="auto"/>
          </w:divBdr>
        </w:div>
        <w:div w:id="570625283">
          <w:marLeft w:val="0"/>
          <w:marRight w:val="0"/>
          <w:marTop w:val="0"/>
          <w:marBottom w:val="0"/>
          <w:divBdr>
            <w:top w:val="none" w:sz="0" w:space="0" w:color="auto"/>
            <w:left w:val="none" w:sz="0" w:space="0" w:color="auto"/>
            <w:bottom w:val="none" w:sz="0" w:space="0" w:color="auto"/>
            <w:right w:val="none" w:sz="0" w:space="0" w:color="auto"/>
          </w:divBdr>
        </w:div>
        <w:div w:id="825046769">
          <w:marLeft w:val="0"/>
          <w:marRight w:val="0"/>
          <w:marTop w:val="0"/>
          <w:marBottom w:val="0"/>
          <w:divBdr>
            <w:top w:val="none" w:sz="0" w:space="0" w:color="auto"/>
            <w:left w:val="none" w:sz="0" w:space="0" w:color="auto"/>
            <w:bottom w:val="none" w:sz="0" w:space="0" w:color="auto"/>
            <w:right w:val="none" w:sz="0" w:space="0" w:color="auto"/>
          </w:divBdr>
        </w:div>
        <w:div w:id="1623606847">
          <w:marLeft w:val="0"/>
          <w:marRight w:val="0"/>
          <w:marTop w:val="0"/>
          <w:marBottom w:val="0"/>
          <w:divBdr>
            <w:top w:val="none" w:sz="0" w:space="0" w:color="auto"/>
            <w:left w:val="none" w:sz="0" w:space="0" w:color="auto"/>
            <w:bottom w:val="none" w:sz="0" w:space="0" w:color="auto"/>
            <w:right w:val="none" w:sz="0" w:space="0" w:color="auto"/>
          </w:divBdr>
        </w:div>
        <w:div w:id="1781489648">
          <w:marLeft w:val="0"/>
          <w:marRight w:val="0"/>
          <w:marTop w:val="0"/>
          <w:marBottom w:val="0"/>
          <w:divBdr>
            <w:top w:val="none" w:sz="0" w:space="0" w:color="auto"/>
            <w:left w:val="none" w:sz="0" w:space="0" w:color="auto"/>
            <w:bottom w:val="none" w:sz="0" w:space="0" w:color="auto"/>
            <w:right w:val="none" w:sz="0" w:space="0" w:color="auto"/>
          </w:divBdr>
        </w:div>
        <w:div w:id="784814360">
          <w:marLeft w:val="0"/>
          <w:marRight w:val="0"/>
          <w:marTop w:val="0"/>
          <w:marBottom w:val="0"/>
          <w:divBdr>
            <w:top w:val="none" w:sz="0" w:space="0" w:color="auto"/>
            <w:left w:val="none" w:sz="0" w:space="0" w:color="auto"/>
            <w:bottom w:val="none" w:sz="0" w:space="0" w:color="auto"/>
            <w:right w:val="none" w:sz="0" w:space="0" w:color="auto"/>
          </w:divBdr>
        </w:div>
        <w:div w:id="789277589">
          <w:marLeft w:val="0"/>
          <w:marRight w:val="0"/>
          <w:marTop w:val="0"/>
          <w:marBottom w:val="0"/>
          <w:divBdr>
            <w:top w:val="none" w:sz="0" w:space="0" w:color="auto"/>
            <w:left w:val="none" w:sz="0" w:space="0" w:color="auto"/>
            <w:bottom w:val="none" w:sz="0" w:space="0" w:color="auto"/>
            <w:right w:val="none" w:sz="0" w:space="0" w:color="auto"/>
          </w:divBdr>
        </w:div>
        <w:div w:id="1242177602">
          <w:marLeft w:val="0"/>
          <w:marRight w:val="0"/>
          <w:marTop w:val="0"/>
          <w:marBottom w:val="0"/>
          <w:divBdr>
            <w:top w:val="none" w:sz="0" w:space="0" w:color="auto"/>
            <w:left w:val="none" w:sz="0" w:space="0" w:color="auto"/>
            <w:bottom w:val="none" w:sz="0" w:space="0" w:color="auto"/>
            <w:right w:val="none" w:sz="0" w:space="0" w:color="auto"/>
          </w:divBdr>
        </w:div>
        <w:div w:id="161706282">
          <w:marLeft w:val="0"/>
          <w:marRight w:val="0"/>
          <w:marTop w:val="0"/>
          <w:marBottom w:val="0"/>
          <w:divBdr>
            <w:top w:val="none" w:sz="0" w:space="0" w:color="auto"/>
            <w:left w:val="none" w:sz="0" w:space="0" w:color="auto"/>
            <w:bottom w:val="none" w:sz="0" w:space="0" w:color="auto"/>
            <w:right w:val="none" w:sz="0" w:space="0" w:color="auto"/>
          </w:divBdr>
        </w:div>
        <w:div w:id="2045903038">
          <w:marLeft w:val="0"/>
          <w:marRight w:val="0"/>
          <w:marTop w:val="0"/>
          <w:marBottom w:val="0"/>
          <w:divBdr>
            <w:top w:val="none" w:sz="0" w:space="0" w:color="auto"/>
            <w:left w:val="none" w:sz="0" w:space="0" w:color="auto"/>
            <w:bottom w:val="none" w:sz="0" w:space="0" w:color="auto"/>
            <w:right w:val="none" w:sz="0" w:space="0" w:color="auto"/>
          </w:divBdr>
        </w:div>
        <w:div w:id="19673539">
          <w:marLeft w:val="0"/>
          <w:marRight w:val="0"/>
          <w:marTop w:val="0"/>
          <w:marBottom w:val="0"/>
          <w:divBdr>
            <w:top w:val="none" w:sz="0" w:space="0" w:color="auto"/>
            <w:left w:val="none" w:sz="0" w:space="0" w:color="auto"/>
            <w:bottom w:val="none" w:sz="0" w:space="0" w:color="auto"/>
            <w:right w:val="none" w:sz="0" w:space="0" w:color="auto"/>
          </w:divBdr>
        </w:div>
        <w:div w:id="672028579">
          <w:marLeft w:val="0"/>
          <w:marRight w:val="0"/>
          <w:marTop w:val="0"/>
          <w:marBottom w:val="0"/>
          <w:divBdr>
            <w:top w:val="none" w:sz="0" w:space="0" w:color="auto"/>
            <w:left w:val="none" w:sz="0" w:space="0" w:color="auto"/>
            <w:bottom w:val="none" w:sz="0" w:space="0" w:color="auto"/>
            <w:right w:val="none" w:sz="0" w:space="0" w:color="auto"/>
          </w:divBdr>
        </w:div>
        <w:div w:id="509833083">
          <w:marLeft w:val="0"/>
          <w:marRight w:val="0"/>
          <w:marTop w:val="0"/>
          <w:marBottom w:val="0"/>
          <w:divBdr>
            <w:top w:val="none" w:sz="0" w:space="0" w:color="auto"/>
            <w:left w:val="none" w:sz="0" w:space="0" w:color="auto"/>
            <w:bottom w:val="none" w:sz="0" w:space="0" w:color="auto"/>
            <w:right w:val="none" w:sz="0" w:space="0" w:color="auto"/>
          </w:divBdr>
        </w:div>
        <w:div w:id="1856727952">
          <w:marLeft w:val="0"/>
          <w:marRight w:val="0"/>
          <w:marTop w:val="0"/>
          <w:marBottom w:val="0"/>
          <w:divBdr>
            <w:top w:val="none" w:sz="0" w:space="0" w:color="auto"/>
            <w:left w:val="none" w:sz="0" w:space="0" w:color="auto"/>
            <w:bottom w:val="none" w:sz="0" w:space="0" w:color="auto"/>
            <w:right w:val="none" w:sz="0" w:space="0" w:color="auto"/>
          </w:divBdr>
        </w:div>
        <w:div w:id="686055613">
          <w:marLeft w:val="0"/>
          <w:marRight w:val="0"/>
          <w:marTop w:val="0"/>
          <w:marBottom w:val="0"/>
          <w:divBdr>
            <w:top w:val="none" w:sz="0" w:space="0" w:color="auto"/>
            <w:left w:val="none" w:sz="0" w:space="0" w:color="auto"/>
            <w:bottom w:val="none" w:sz="0" w:space="0" w:color="auto"/>
            <w:right w:val="none" w:sz="0" w:space="0" w:color="auto"/>
          </w:divBdr>
        </w:div>
        <w:div w:id="1484200227">
          <w:marLeft w:val="0"/>
          <w:marRight w:val="0"/>
          <w:marTop w:val="0"/>
          <w:marBottom w:val="0"/>
          <w:divBdr>
            <w:top w:val="none" w:sz="0" w:space="0" w:color="auto"/>
            <w:left w:val="none" w:sz="0" w:space="0" w:color="auto"/>
            <w:bottom w:val="none" w:sz="0" w:space="0" w:color="auto"/>
            <w:right w:val="none" w:sz="0" w:space="0" w:color="auto"/>
          </w:divBdr>
        </w:div>
        <w:div w:id="1616789672">
          <w:marLeft w:val="0"/>
          <w:marRight w:val="0"/>
          <w:marTop w:val="0"/>
          <w:marBottom w:val="0"/>
          <w:divBdr>
            <w:top w:val="none" w:sz="0" w:space="0" w:color="auto"/>
            <w:left w:val="none" w:sz="0" w:space="0" w:color="auto"/>
            <w:bottom w:val="none" w:sz="0" w:space="0" w:color="auto"/>
            <w:right w:val="none" w:sz="0" w:space="0" w:color="auto"/>
          </w:divBdr>
        </w:div>
        <w:div w:id="213741941">
          <w:marLeft w:val="0"/>
          <w:marRight w:val="0"/>
          <w:marTop w:val="0"/>
          <w:marBottom w:val="0"/>
          <w:divBdr>
            <w:top w:val="none" w:sz="0" w:space="0" w:color="auto"/>
            <w:left w:val="none" w:sz="0" w:space="0" w:color="auto"/>
            <w:bottom w:val="none" w:sz="0" w:space="0" w:color="auto"/>
            <w:right w:val="none" w:sz="0" w:space="0" w:color="auto"/>
          </w:divBdr>
        </w:div>
        <w:div w:id="1337919633">
          <w:marLeft w:val="0"/>
          <w:marRight w:val="0"/>
          <w:marTop w:val="0"/>
          <w:marBottom w:val="0"/>
          <w:divBdr>
            <w:top w:val="none" w:sz="0" w:space="0" w:color="auto"/>
            <w:left w:val="none" w:sz="0" w:space="0" w:color="auto"/>
            <w:bottom w:val="none" w:sz="0" w:space="0" w:color="auto"/>
            <w:right w:val="none" w:sz="0" w:space="0" w:color="auto"/>
          </w:divBdr>
        </w:div>
        <w:div w:id="678654786">
          <w:marLeft w:val="0"/>
          <w:marRight w:val="0"/>
          <w:marTop w:val="0"/>
          <w:marBottom w:val="0"/>
          <w:divBdr>
            <w:top w:val="none" w:sz="0" w:space="0" w:color="auto"/>
            <w:left w:val="none" w:sz="0" w:space="0" w:color="auto"/>
            <w:bottom w:val="none" w:sz="0" w:space="0" w:color="auto"/>
            <w:right w:val="none" w:sz="0" w:space="0" w:color="auto"/>
          </w:divBdr>
        </w:div>
        <w:div w:id="1699426223">
          <w:marLeft w:val="0"/>
          <w:marRight w:val="0"/>
          <w:marTop w:val="0"/>
          <w:marBottom w:val="0"/>
          <w:divBdr>
            <w:top w:val="none" w:sz="0" w:space="0" w:color="auto"/>
            <w:left w:val="none" w:sz="0" w:space="0" w:color="auto"/>
            <w:bottom w:val="none" w:sz="0" w:space="0" w:color="auto"/>
            <w:right w:val="none" w:sz="0" w:space="0" w:color="auto"/>
          </w:divBdr>
        </w:div>
        <w:div w:id="1348748839">
          <w:marLeft w:val="0"/>
          <w:marRight w:val="0"/>
          <w:marTop w:val="0"/>
          <w:marBottom w:val="0"/>
          <w:divBdr>
            <w:top w:val="none" w:sz="0" w:space="0" w:color="auto"/>
            <w:left w:val="none" w:sz="0" w:space="0" w:color="auto"/>
            <w:bottom w:val="none" w:sz="0" w:space="0" w:color="auto"/>
            <w:right w:val="none" w:sz="0" w:space="0" w:color="auto"/>
          </w:divBdr>
        </w:div>
        <w:div w:id="1356540658">
          <w:marLeft w:val="0"/>
          <w:marRight w:val="0"/>
          <w:marTop w:val="0"/>
          <w:marBottom w:val="0"/>
          <w:divBdr>
            <w:top w:val="none" w:sz="0" w:space="0" w:color="auto"/>
            <w:left w:val="none" w:sz="0" w:space="0" w:color="auto"/>
            <w:bottom w:val="none" w:sz="0" w:space="0" w:color="auto"/>
            <w:right w:val="none" w:sz="0" w:space="0" w:color="auto"/>
          </w:divBdr>
        </w:div>
        <w:div w:id="294066235">
          <w:marLeft w:val="0"/>
          <w:marRight w:val="0"/>
          <w:marTop w:val="0"/>
          <w:marBottom w:val="0"/>
          <w:divBdr>
            <w:top w:val="none" w:sz="0" w:space="0" w:color="auto"/>
            <w:left w:val="none" w:sz="0" w:space="0" w:color="auto"/>
            <w:bottom w:val="none" w:sz="0" w:space="0" w:color="auto"/>
            <w:right w:val="none" w:sz="0" w:space="0" w:color="auto"/>
          </w:divBdr>
        </w:div>
        <w:div w:id="339745986">
          <w:marLeft w:val="0"/>
          <w:marRight w:val="0"/>
          <w:marTop w:val="0"/>
          <w:marBottom w:val="0"/>
          <w:divBdr>
            <w:top w:val="none" w:sz="0" w:space="0" w:color="auto"/>
            <w:left w:val="none" w:sz="0" w:space="0" w:color="auto"/>
            <w:bottom w:val="none" w:sz="0" w:space="0" w:color="auto"/>
            <w:right w:val="none" w:sz="0" w:space="0" w:color="auto"/>
          </w:divBdr>
        </w:div>
        <w:div w:id="1259369280">
          <w:marLeft w:val="0"/>
          <w:marRight w:val="0"/>
          <w:marTop w:val="0"/>
          <w:marBottom w:val="0"/>
          <w:divBdr>
            <w:top w:val="none" w:sz="0" w:space="0" w:color="auto"/>
            <w:left w:val="none" w:sz="0" w:space="0" w:color="auto"/>
            <w:bottom w:val="none" w:sz="0" w:space="0" w:color="auto"/>
            <w:right w:val="none" w:sz="0" w:space="0" w:color="auto"/>
          </w:divBdr>
        </w:div>
        <w:div w:id="393746798">
          <w:marLeft w:val="0"/>
          <w:marRight w:val="0"/>
          <w:marTop w:val="0"/>
          <w:marBottom w:val="0"/>
          <w:divBdr>
            <w:top w:val="none" w:sz="0" w:space="0" w:color="auto"/>
            <w:left w:val="none" w:sz="0" w:space="0" w:color="auto"/>
            <w:bottom w:val="none" w:sz="0" w:space="0" w:color="auto"/>
            <w:right w:val="none" w:sz="0" w:space="0" w:color="auto"/>
          </w:divBdr>
        </w:div>
        <w:div w:id="632905103">
          <w:marLeft w:val="0"/>
          <w:marRight w:val="0"/>
          <w:marTop w:val="0"/>
          <w:marBottom w:val="0"/>
          <w:divBdr>
            <w:top w:val="none" w:sz="0" w:space="0" w:color="auto"/>
            <w:left w:val="none" w:sz="0" w:space="0" w:color="auto"/>
            <w:bottom w:val="none" w:sz="0" w:space="0" w:color="auto"/>
            <w:right w:val="none" w:sz="0" w:space="0" w:color="auto"/>
          </w:divBdr>
        </w:div>
        <w:div w:id="1373768357">
          <w:marLeft w:val="0"/>
          <w:marRight w:val="0"/>
          <w:marTop w:val="0"/>
          <w:marBottom w:val="0"/>
          <w:divBdr>
            <w:top w:val="none" w:sz="0" w:space="0" w:color="auto"/>
            <w:left w:val="none" w:sz="0" w:space="0" w:color="auto"/>
            <w:bottom w:val="none" w:sz="0" w:space="0" w:color="auto"/>
            <w:right w:val="none" w:sz="0" w:space="0" w:color="auto"/>
          </w:divBdr>
        </w:div>
        <w:div w:id="1433821079">
          <w:marLeft w:val="0"/>
          <w:marRight w:val="0"/>
          <w:marTop w:val="0"/>
          <w:marBottom w:val="0"/>
          <w:divBdr>
            <w:top w:val="none" w:sz="0" w:space="0" w:color="auto"/>
            <w:left w:val="none" w:sz="0" w:space="0" w:color="auto"/>
            <w:bottom w:val="none" w:sz="0" w:space="0" w:color="auto"/>
            <w:right w:val="none" w:sz="0" w:space="0" w:color="auto"/>
          </w:divBdr>
        </w:div>
        <w:div w:id="1256089652">
          <w:marLeft w:val="0"/>
          <w:marRight w:val="0"/>
          <w:marTop w:val="0"/>
          <w:marBottom w:val="0"/>
          <w:divBdr>
            <w:top w:val="none" w:sz="0" w:space="0" w:color="auto"/>
            <w:left w:val="none" w:sz="0" w:space="0" w:color="auto"/>
            <w:bottom w:val="none" w:sz="0" w:space="0" w:color="auto"/>
            <w:right w:val="none" w:sz="0" w:space="0" w:color="auto"/>
          </w:divBdr>
        </w:div>
        <w:div w:id="1258443681">
          <w:marLeft w:val="0"/>
          <w:marRight w:val="0"/>
          <w:marTop w:val="0"/>
          <w:marBottom w:val="0"/>
          <w:divBdr>
            <w:top w:val="none" w:sz="0" w:space="0" w:color="auto"/>
            <w:left w:val="none" w:sz="0" w:space="0" w:color="auto"/>
            <w:bottom w:val="none" w:sz="0" w:space="0" w:color="auto"/>
            <w:right w:val="none" w:sz="0" w:space="0" w:color="auto"/>
          </w:divBdr>
        </w:div>
        <w:div w:id="1710300334">
          <w:marLeft w:val="0"/>
          <w:marRight w:val="0"/>
          <w:marTop w:val="0"/>
          <w:marBottom w:val="0"/>
          <w:divBdr>
            <w:top w:val="none" w:sz="0" w:space="0" w:color="auto"/>
            <w:left w:val="none" w:sz="0" w:space="0" w:color="auto"/>
            <w:bottom w:val="none" w:sz="0" w:space="0" w:color="auto"/>
            <w:right w:val="none" w:sz="0" w:space="0" w:color="auto"/>
          </w:divBdr>
        </w:div>
        <w:div w:id="1094669321">
          <w:marLeft w:val="0"/>
          <w:marRight w:val="0"/>
          <w:marTop w:val="0"/>
          <w:marBottom w:val="0"/>
          <w:divBdr>
            <w:top w:val="none" w:sz="0" w:space="0" w:color="auto"/>
            <w:left w:val="none" w:sz="0" w:space="0" w:color="auto"/>
            <w:bottom w:val="none" w:sz="0" w:space="0" w:color="auto"/>
            <w:right w:val="none" w:sz="0" w:space="0" w:color="auto"/>
          </w:divBdr>
        </w:div>
        <w:div w:id="2065449589">
          <w:marLeft w:val="0"/>
          <w:marRight w:val="0"/>
          <w:marTop w:val="0"/>
          <w:marBottom w:val="0"/>
          <w:divBdr>
            <w:top w:val="none" w:sz="0" w:space="0" w:color="auto"/>
            <w:left w:val="none" w:sz="0" w:space="0" w:color="auto"/>
            <w:bottom w:val="none" w:sz="0" w:space="0" w:color="auto"/>
            <w:right w:val="none" w:sz="0" w:space="0" w:color="auto"/>
          </w:divBdr>
        </w:div>
      </w:divsChild>
    </w:div>
    <w:div w:id="1503668725">
      <w:bodyDiv w:val="1"/>
      <w:marLeft w:val="0"/>
      <w:marRight w:val="0"/>
      <w:marTop w:val="0"/>
      <w:marBottom w:val="0"/>
      <w:divBdr>
        <w:top w:val="none" w:sz="0" w:space="0" w:color="auto"/>
        <w:left w:val="none" w:sz="0" w:space="0" w:color="auto"/>
        <w:bottom w:val="none" w:sz="0" w:space="0" w:color="auto"/>
        <w:right w:val="none" w:sz="0" w:space="0" w:color="auto"/>
      </w:divBdr>
      <w:divsChild>
        <w:div w:id="1632128384">
          <w:marLeft w:val="0"/>
          <w:marRight w:val="0"/>
          <w:marTop w:val="0"/>
          <w:marBottom w:val="0"/>
          <w:divBdr>
            <w:top w:val="none" w:sz="0" w:space="0" w:color="auto"/>
            <w:left w:val="none" w:sz="0" w:space="0" w:color="auto"/>
            <w:bottom w:val="none" w:sz="0" w:space="0" w:color="auto"/>
            <w:right w:val="none" w:sz="0" w:space="0" w:color="auto"/>
          </w:divBdr>
        </w:div>
        <w:div w:id="883833294">
          <w:marLeft w:val="0"/>
          <w:marRight w:val="0"/>
          <w:marTop w:val="0"/>
          <w:marBottom w:val="0"/>
          <w:divBdr>
            <w:top w:val="none" w:sz="0" w:space="0" w:color="auto"/>
            <w:left w:val="none" w:sz="0" w:space="0" w:color="auto"/>
            <w:bottom w:val="none" w:sz="0" w:space="0" w:color="auto"/>
            <w:right w:val="none" w:sz="0" w:space="0" w:color="auto"/>
          </w:divBdr>
        </w:div>
        <w:div w:id="444352925">
          <w:marLeft w:val="0"/>
          <w:marRight w:val="0"/>
          <w:marTop w:val="0"/>
          <w:marBottom w:val="0"/>
          <w:divBdr>
            <w:top w:val="none" w:sz="0" w:space="0" w:color="auto"/>
            <w:left w:val="none" w:sz="0" w:space="0" w:color="auto"/>
            <w:bottom w:val="none" w:sz="0" w:space="0" w:color="auto"/>
            <w:right w:val="none" w:sz="0" w:space="0" w:color="auto"/>
          </w:divBdr>
        </w:div>
        <w:div w:id="709497504">
          <w:marLeft w:val="0"/>
          <w:marRight w:val="0"/>
          <w:marTop w:val="0"/>
          <w:marBottom w:val="0"/>
          <w:divBdr>
            <w:top w:val="none" w:sz="0" w:space="0" w:color="auto"/>
            <w:left w:val="none" w:sz="0" w:space="0" w:color="auto"/>
            <w:bottom w:val="none" w:sz="0" w:space="0" w:color="auto"/>
            <w:right w:val="none" w:sz="0" w:space="0" w:color="auto"/>
          </w:divBdr>
        </w:div>
        <w:div w:id="549342438">
          <w:marLeft w:val="0"/>
          <w:marRight w:val="0"/>
          <w:marTop w:val="0"/>
          <w:marBottom w:val="0"/>
          <w:divBdr>
            <w:top w:val="none" w:sz="0" w:space="0" w:color="auto"/>
            <w:left w:val="none" w:sz="0" w:space="0" w:color="auto"/>
            <w:bottom w:val="none" w:sz="0" w:space="0" w:color="auto"/>
            <w:right w:val="none" w:sz="0" w:space="0" w:color="auto"/>
          </w:divBdr>
        </w:div>
        <w:div w:id="940793502">
          <w:marLeft w:val="0"/>
          <w:marRight w:val="0"/>
          <w:marTop w:val="0"/>
          <w:marBottom w:val="0"/>
          <w:divBdr>
            <w:top w:val="none" w:sz="0" w:space="0" w:color="auto"/>
            <w:left w:val="none" w:sz="0" w:space="0" w:color="auto"/>
            <w:bottom w:val="none" w:sz="0" w:space="0" w:color="auto"/>
            <w:right w:val="none" w:sz="0" w:space="0" w:color="auto"/>
          </w:divBdr>
        </w:div>
        <w:div w:id="82339919">
          <w:marLeft w:val="0"/>
          <w:marRight w:val="0"/>
          <w:marTop w:val="0"/>
          <w:marBottom w:val="0"/>
          <w:divBdr>
            <w:top w:val="none" w:sz="0" w:space="0" w:color="auto"/>
            <w:left w:val="none" w:sz="0" w:space="0" w:color="auto"/>
            <w:bottom w:val="none" w:sz="0" w:space="0" w:color="auto"/>
            <w:right w:val="none" w:sz="0" w:space="0" w:color="auto"/>
          </w:divBdr>
        </w:div>
        <w:div w:id="1160001459">
          <w:marLeft w:val="0"/>
          <w:marRight w:val="0"/>
          <w:marTop w:val="0"/>
          <w:marBottom w:val="0"/>
          <w:divBdr>
            <w:top w:val="none" w:sz="0" w:space="0" w:color="auto"/>
            <w:left w:val="none" w:sz="0" w:space="0" w:color="auto"/>
            <w:bottom w:val="none" w:sz="0" w:space="0" w:color="auto"/>
            <w:right w:val="none" w:sz="0" w:space="0" w:color="auto"/>
          </w:divBdr>
        </w:div>
        <w:div w:id="1762990798">
          <w:marLeft w:val="0"/>
          <w:marRight w:val="0"/>
          <w:marTop w:val="0"/>
          <w:marBottom w:val="0"/>
          <w:divBdr>
            <w:top w:val="none" w:sz="0" w:space="0" w:color="auto"/>
            <w:left w:val="none" w:sz="0" w:space="0" w:color="auto"/>
            <w:bottom w:val="none" w:sz="0" w:space="0" w:color="auto"/>
            <w:right w:val="none" w:sz="0" w:space="0" w:color="auto"/>
          </w:divBdr>
        </w:div>
      </w:divsChild>
    </w:div>
    <w:div w:id="1587882923">
      <w:bodyDiv w:val="1"/>
      <w:marLeft w:val="0"/>
      <w:marRight w:val="0"/>
      <w:marTop w:val="0"/>
      <w:marBottom w:val="0"/>
      <w:divBdr>
        <w:top w:val="none" w:sz="0" w:space="0" w:color="auto"/>
        <w:left w:val="none" w:sz="0" w:space="0" w:color="auto"/>
        <w:bottom w:val="none" w:sz="0" w:space="0" w:color="auto"/>
        <w:right w:val="none" w:sz="0" w:space="0" w:color="auto"/>
      </w:divBdr>
      <w:divsChild>
        <w:div w:id="1638489825">
          <w:marLeft w:val="0"/>
          <w:marRight w:val="0"/>
          <w:marTop w:val="0"/>
          <w:marBottom w:val="0"/>
          <w:divBdr>
            <w:top w:val="none" w:sz="0" w:space="0" w:color="auto"/>
            <w:left w:val="none" w:sz="0" w:space="0" w:color="auto"/>
            <w:bottom w:val="none" w:sz="0" w:space="0" w:color="auto"/>
            <w:right w:val="none" w:sz="0" w:space="0" w:color="auto"/>
          </w:divBdr>
        </w:div>
      </w:divsChild>
    </w:div>
    <w:div w:id="1705594453">
      <w:bodyDiv w:val="1"/>
      <w:marLeft w:val="0"/>
      <w:marRight w:val="0"/>
      <w:marTop w:val="0"/>
      <w:marBottom w:val="0"/>
      <w:divBdr>
        <w:top w:val="none" w:sz="0" w:space="0" w:color="auto"/>
        <w:left w:val="none" w:sz="0" w:space="0" w:color="auto"/>
        <w:bottom w:val="none" w:sz="0" w:space="0" w:color="auto"/>
        <w:right w:val="none" w:sz="0" w:space="0" w:color="auto"/>
      </w:divBdr>
      <w:divsChild>
        <w:div w:id="1550798405">
          <w:marLeft w:val="0"/>
          <w:marRight w:val="0"/>
          <w:marTop w:val="0"/>
          <w:marBottom w:val="0"/>
          <w:divBdr>
            <w:top w:val="none" w:sz="0" w:space="0" w:color="auto"/>
            <w:left w:val="none" w:sz="0" w:space="0" w:color="auto"/>
            <w:bottom w:val="none" w:sz="0" w:space="0" w:color="auto"/>
            <w:right w:val="none" w:sz="0" w:space="0" w:color="auto"/>
          </w:divBdr>
        </w:div>
      </w:divsChild>
    </w:div>
    <w:div w:id="1849443082">
      <w:bodyDiv w:val="1"/>
      <w:marLeft w:val="0"/>
      <w:marRight w:val="0"/>
      <w:marTop w:val="0"/>
      <w:marBottom w:val="0"/>
      <w:divBdr>
        <w:top w:val="none" w:sz="0" w:space="0" w:color="auto"/>
        <w:left w:val="none" w:sz="0" w:space="0" w:color="auto"/>
        <w:bottom w:val="none" w:sz="0" w:space="0" w:color="auto"/>
        <w:right w:val="none" w:sz="0" w:space="0" w:color="auto"/>
      </w:divBdr>
      <w:divsChild>
        <w:div w:id="2138061734">
          <w:marLeft w:val="0"/>
          <w:marRight w:val="0"/>
          <w:marTop w:val="0"/>
          <w:marBottom w:val="0"/>
          <w:divBdr>
            <w:top w:val="none" w:sz="0" w:space="0" w:color="auto"/>
            <w:left w:val="none" w:sz="0" w:space="0" w:color="auto"/>
            <w:bottom w:val="none" w:sz="0" w:space="0" w:color="auto"/>
            <w:right w:val="none" w:sz="0" w:space="0" w:color="auto"/>
          </w:divBdr>
        </w:div>
        <w:div w:id="1686706459">
          <w:marLeft w:val="0"/>
          <w:marRight w:val="0"/>
          <w:marTop w:val="0"/>
          <w:marBottom w:val="0"/>
          <w:divBdr>
            <w:top w:val="none" w:sz="0" w:space="0" w:color="auto"/>
            <w:left w:val="none" w:sz="0" w:space="0" w:color="auto"/>
            <w:bottom w:val="none" w:sz="0" w:space="0" w:color="auto"/>
            <w:right w:val="none" w:sz="0" w:space="0" w:color="auto"/>
          </w:divBdr>
        </w:div>
        <w:div w:id="555972733">
          <w:marLeft w:val="0"/>
          <w:marRight w:val="0"/>
          <w:marTop w:val="0"/>
          <w:marBottom w:val="0"/>
          <w:divBdr>
            <w:top w:val="none" w:sz="0" w:space="0" w:color="auto"/>
            <w:left w:val="none" w:sz="0" w:space="0" w:color="auto"/>
            <w:bottom w:val="none" w:sz="0" w:space="0" w:color="auto"/>
            <w:right w:val="none" w:sz="0" w:space="0" w:color="auto"/>
          </w:divBdr>
        </w:div>
        <w:div w:id="271786223">
          <w:marLeft w:val="0"/>
          <w:marRight w:val="0"/>
          <w:marTop w:val="0"/>
          <w:marBottom w:val="0"/>
          <w:divBdr>
            <w:top w:val="none" w:sz="0" w:space="0" w:color="auto"/>
            <w:left w:val="none" w:sz="0" w:space="0" w:color="auto"/>
            <w:bottom w:val="none" w:sz="0" w:space="0" w:color="auto"/>
            <w:right w:val="none" w:sz="0" w:space="0" w:color="auto"/>
          </w:divBdr>
        </w:div>
        <w:div w:id="1967468009">
          <w:marLeft w:val="0"/>
          <w:marRight w:val="0"/>
          <w:marTop w:val="0"/>
          <w:marBottom w:val="0"/>
          <w:divBdr>
            <w:top w:val="none" w:sz="0" w:space="0" w:color="auto"/>
            <w:left w:val="none" w:sz="0" w:space="0" w:color="auto"/>
            <w:bottom w:val="none" w:sz="0" w:space="0" w:color="auto"/>
            <w:right w:val="none" w:sz="0" w:space="0" w:color="auto"/>
          </w:divBdr>
        </w:div>
        <w:div w:id="1220360208">
          <w:marLeft w:val="0"/>
          <w:marRight w:val="0"/>
          <w:marTop w:val="0"/>
          <w:marBottom w:val="0"/>
          <w:divBdr>
            <w:top w:val="none" w:sz="0" w:space="0" w:color="auto"/>
            <w:left w:val="none" w:sz="0" w:space="0" w:color="auto"/>
            <w:bottom w:val="none" w:sz="0" w:space="0" w:color="auto"/>
            <w:right w:val="none" w:sz="0" w:space="0" w:color="auto"/>
          </w:divBdr>
        </w:div>
        <w:div w:id="1257251510">
          <w:marLeft w:val="0"/>
          <w:marRight w:val="0"/>
          <w:marTop w:val="0"/>
          <w:marBottom w:val="0"/>
          <w:divBdr>
            <w:top w:val="none" w:sz="0" w:space="0" w:color="auto"/>
            <w:left w:val="none" w:sz="0" w:space="0" w:color="auto"/>
            <w:bottom w:val="none" w:sz="0" w:space="0" w:color="auto"/>
            <w:right w:val="none" w:sz="0" w:space="0" w:color="auto"/>
          </w:divBdr>
        </w:div>
        <w:div w:id="1118335345">
          <w:marLeft w:val="0"/>
          <w:marRight w:val="0"/>
          <w:marTop w:val="0"/>
          <w:marBottom w:val="0"/>
          <w:divBdr>
            <w:top w:val="none" w:sz="0" w:space="0" w:color="auto"/>
            <w:left w:val="none" w:sz="0" w:space="0" w:color="auto"/>
            <w:bottom w:val="none" w:sz="0" w:space="0" w:color="auto"/>
            <w:right w:val="none" w:sz="0" w:space="0" w:color="auto"/>
          </w:divBdr>
        </w:div>
        <w:div w:id="386995779">
          <w:marLeft w:val="0"/>
          <w:marRight w:val="0"/>
          <w:marTop w:val="0"/>
          <w:marBottom w:val="0"/>
          <w:divBdr>
            <w:top w:val="none" w:sz="0" w:space="0" w:color="auto"/>
            <w:left w:val="none" w:sz="0" w:space="0" w:color="auto"/>
            <w:bottom w:val="none" w:sz="0" w:space="0" w:color="auto"/>
            <w:right w:val="none" w:sz="0" w:space="0" w:color="auto"/>
          </w:divBdr>
        </w:div>
      </w:divsChild>
    </w:div>
    <w:div w:id="1980455476">
      <w:bodyDiv w:val="1"/>
      <w:marLeft w:val="0"/>
      <w:marRight w:val="0"/>
      <w:marTop w:val="0"/>
      <w:marBottom w:val="0"/>
      <w:divBdr>
        <w:top w:val="none" w:sz="0" w:space="0" w:color="auto"/>
        <w:left w:val="none" w:sz="0" w:space="0" w:color="auto"/>
        <w:bottom w:val="none" w:sz="0" w:space="0" w:color="auto"/>
        <w:right w:val="none" w:sz="0" w:space="0" w:color="auto"/>
      </w:divBdr>
      <w:divsChild>
        <w:div w:id="1897276954">
          <w:marLeft w:val="0"/>
          <w:marRight w:val="0"/>
          <w:marTop w:val="0"/>
          <w:marBottom w:val="0"/>
          <w:divBdr>
            <w:top w:val="none" w:sz="0" w:space="0" w:color="auto"/>
            <w:left w:val="none" w:sz="0" w:space="0" w:color="auto"/>
            <w:bottom w:val="none" w:sz="0" w:space="0" w:color="auto"/>
            <w:right w:val="none" w:sz="0" w:space="0" w:color="auto"/>
          </w:divBdr>
        </w:div>
        <w:div w:id="14700559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C928B477-4213-4460-A675-E2FFBCBD207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21</Pages>
  <Words>2835</Words>
  <Characters>16162</Characters>
  <Application>Microsoft Office Word</Application>
  <DocSecurity>0</DocSecurity>
  <Lines>134</Lines>
  <Paragraphs>37</Paragraphs>
  <ScaleCrop>false</ScaleCrop>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席兴军</cp:lastModifiedBy>
  <cp:revision>2058</cp:revision>
  <dcterms:created xsi:type="dcterms:W3CDTF">2023-11-10T09:09:00Z</dcterms:created>
  <dcterms:modified xsi:type="dcterms:W3CDTF">2024-09-09T01:49:00Z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E08B75829ADC4E5AAB99765227F36BFA_13</vt:lpwstr>
  </property>
</Properties>
</file>